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jpeg" ContentType="image/jpeg"/>
  <Override PartName="/word/media/image2.jpeg" ContentType="image/jpeg"/>
  <Override PartName="/word/media/image3.jpeg" ContentType="image/jpeg"/>
  <Override PartName="/word/media/image4.jpeg" ContentType="image/jpeg"/>
  <Override PartName="/word/settings.xml" ContentType="application/vnd.openxmlformats-officedocument.wordprocessingml.settings+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theme/theme1.xml" ContentType="application/vnd.openxmlformats-officedocument.theme+xml"/>
  <Override PartName="/word/_rels/document.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both"/>
        <w:rPr>
          <w:rFonts w:cs="Calibri"/>
          <w:color w:val="000000"/>
          <w:sz w:val="40"/>
          <w:szCs w:val="40"/>
        </w:rPr>
      </w:pPr>
      <w:r>
        <w:rPr>
          <w:rFonts w:cs="Calibri"/>
          <w:color w:val="000000"/>
          <w:sz w:val="40"/>
          <w:szCs w:val="40"/>
        </w:rPr>
      </w:r>
    </w:p>
    <w:p>
      <w:pPr>
        <w:pStyle w:val="Normal"/>
        <w:spacing w:lineRule="auto" w:line="240" w:before="0" w:after="0"/>
        <w:jc w:val="right"/>
        <w:rPr>
          <w:rFonts w:cs="Calibri"/>
          <w:color w:val="000000"/>
          <w:sz w:val="40"/>
          <w:szCs w:val="40"/>
        </w:rPr>
      </w:pPr>
      <w:r>
        <w:rPr>
          <w:rFonts w:cs="Calibri"/>
          <w:color w:val="000000"/>
          <w:sz w:val="40"/>
          <w:szCs w:val="40"/>
        </w:rPr>
      </w:r>
    </w:p>
    <w:p>
      <w:pPr>
        <w:pStyle w:val="Normal"/>
        <w:spacing w:lineRule="auto" w:line="240" w:before="0" w:after="0"/>
        <w:jc w:val="right"/>
        <w:rPr>
          <w:rFonts w:cs="Calibri"/>
          <w:b/>
          <w:color w:val="000000"/>
          <w:sz w:val="44"/>
          <w:szCs w:val="40"/>
        </w:rPr>
      </w:pPr>
      <w:r>
        <w:rPr>
          <w:rFonts w:cs="Calibri"/>
          <w:b/>
          <w:color w:val="000000"/>
          <w:sz w:val="44"/>
          <w:szCs w:val="40"/>
        </w:rPr>
        <w:t>SPECYFIKACJA TECHNICZNA</w:t>
      </w:r>
    </w:p>
    <w:p>
      <w:pPr>
        <w:pStyle w:val="Normal"/>
        <w:spacing w:lineRule="auto" w:line="240" w:before="0" w:after="0"/>
        <w:jc w:val="right"/>
        <w:rPr>
          <w:rFonts w:cs="Calibri"/>
          <w:b/>
          <w:color w:val="000000"/>
          <w:sz w:val="44"/>
          <w:szCs w:val="40"/>
        </w:rPr>
      </w:pPr>
      <w:r>
        <w:rPr>
          <w:rFonts w:cs="Calibri"/>
          <w:b/>
          <w:color w:val="000000"/>
          <w:sz w:val="44"/>
          <w:szCs w:val="40"/>
        </w:rPr>
        <w:t>WYKONANIA I ODBIORU ROBÓT</w:t>
      </w:r>
    </w:p>
    <w:p>
      <w:pPr>
        <w:pStyle w:val="Normal"/>
        <w:spacing w:lineRule="auto" w:line="240" w:before="0" w:after="0"/>
        <w:jc w:val="right"/>
        <w:rPr>
          <w:rFonts w:cs="Calibri"/>
          <w:b/>
          <w:color w:val="000000"/>
          <w:sz w:val="40"/>
          <w:szCs w:val="40"/>
        </w:rPr>
      </w:pPr>
      <w:r>
        <w:rPr>
          <w:rFonts w:cs="Calibri"/>
          <w:b/>
          <w:color w:val="000000"/>
          <w:sz w:val="40"/>
          <w:szCs w:val="40"/>
        </w:rPr>
      </w:r>
    </w:p>
    <w:p>
      <w:pPr>
        <w:pStyle w:val="Normal"/>
        <w:spacing w:lineRule="auto" w:line="240" w:before="0" w:after="0"/>
        <w:jc w:val="right"/>
        <w:rPr>
          <w:rFonts w:cs="Calibri"/>
          <w:b/>
          <w:color w:val="000000"/>
          <w:sz w:val="40"/>
          <w:szCs w:val="40"/>
        </w:rPr>
      </w:pPr>
      <w:r>
        <w:rPr>
          <w:rFonts w:cs="Calibri"/>
          <w:b/>
          <w:color w:val="000000"/>
          <w:sz w:val="40"/>
          <w:szCs w:val="40"/>
        </w:rPr>
      </w:r>
    </w:p>
    <w:p>
      <w:pPr>
        <w:pStyle w:val="Normal"/>
        <w:spacing w:lineRule="auto" w:line="240" w:before="0" w:after="0"/>
        <w:jc w:val="right"/>
        <w:rPr>
          <w:rFonts w:cs="Calibri"/>
          <w:b/>
          <w:color w:val="000000"/>
          <w:sz w:val="40"/>
          <w:szCs w:val="40"/>
        </w:rPr>
      </w:pPr>
      <w:r>
        <w:rPr>
          <w:rFonts w:cs="Calibri"/>
          <w:b/>
          <w:color w:val="000000"/>
          <w:sz w:val="40"/>
          <w:szCs w:val="40"/>
        </w:rPr>
      </w:r>
    </w:p>
    <w:p>
      <w:pPr>
        <w:pStyle w:val="Normal"/>
        <w:spacing w:lineRule="auto" w:line="240" w:before="0" w:after="0"/>
        <w:jc w:val="right"/>
        <w:rPr>
          <w:rFonts w:cs="Calibri"/>
          <w:b/>
          <w:color w:val="000000"/>
          <w:sz w:val="40"/>
          <w:szCs w:val="40"/>
        </w:rPr>
      </w:pPr>
      <w:r>
        <w:rPr>
          <w:rFonts w:cs="Calibri"/>
          <w:b/>
          <w:color w:val="000000"/>
          <w:sz w:val="40"/>
          <w:szCs w:val="40"/>
        </w:rPr>
      </w:r>
    </w:p>
    <w:p>
      <w:pPr>
        <w:pStyle w:val="Normal"/>
        <w:spacing w:lineRule="auto" w:line="240" w:before="0" w:after="0"/>
        <w:jc w:val="right"/>
        <w:rPr>
          <w:rFonts w:cs="Calibri"/>
          <w:b/>
          <w:color w:val="000000"/>
          <w:sz w:val="28"/>
          <w:szCs w:val="28"/>
        </w:rPr>
      </w:pPr>
      <w:r>
        <w:rPr>
          <w:rFonts w:cs="Calibri"/>
          <w:b/>
          <w:color w:val="000000"/>
          <w:sz w:val="28"/>
          <w:szCs w:val="28"/>
        </w:rPr>
        <w:t>NAWIERZCHNIA Z BETONU ASFALTOWEGO.</w:t>
      </w:r>
    </w:p>
    <w:p>
      <w:pPr>
        <w:pStyle w:val="Normal"/>
        <w:spacing w:lineRule="auto" w:line="240" w:before="0" w:after="0"/>
        <w:jc w:val="right"/>
        <w:rPr>
          <w:rFonts w:cs="Calibri"/>
          <w:color w:val="000000"/>
          <w:sz w:val="28"/>
          <w:szCs w:val="28"/>
        </w:rPr>
      </w:pPr>
      <w:r>
        <w:rPr>
          <w:rFonts w:cs="Calibri"/>
          <w:b/>
          <w:color w:val="000000"/>
          <w:sz w:val="28"/>
          <w:szCs w:val="28"/>
        </w:rPr>
        <w:t>WARSTWA ŚCIERALNA</w:t>
      </w:r>
    </w:p>
    <w:p>
      <w:pPr>
        <w:pStyle w:val="Normal"/>
        <w:spacing w:lineRule="auto" w:line="240" w:before="0" w:after="0"/>
        <w:jc w:val="both"/>
        <w:rPr>
          <w:rFonts w:cs="Calibri"/>
          <w:color w:val="000000"/>
          <w:sz w:val="28"/>
          <w:szCs w:val="28"/>
        </w:rPr>
      </w:pPr>
      <w:r>
        <w:rPr>
          <w:rFonts w:cs="Calibri"/>
          <w:color w:val="000000"/>
          <w:sz w:val="28"/>
          <w:szCs w:val="28"/>
        </w:rPr>
      </w:r>
    </w:p>
    <w:p>
      <w:pPr>
        <w:pStyle w:val="Normal"/>
        <w:spacing w:lineRule="auto" w:line="240" w:before="0" w:after="0"/>
        <w:jc w:val="both"/>
        <w:rPr>
          <w:rFonts w:cs="Calibri"/>
          <w:color w:val="000000"/>
          <w:sz w:val="20"/>
          <w:szCs w:val="20"/>
        </w:rPr>
      </w:pPr>
      <w:r>
        <w:rPr>
          <w:rFonts w:cs="Calibri"/>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p>
    <w:p>
      <w:pPr>
        <w:pStyle w:val="Normal"/>
        <w:spacing w:lineRule="auto" w:line="240" w:before="0" w:after="0"/>
        <w:jc w:val="both"/>
        <w:rPr>
          <w:rFonts w:cs="Calibri"/>
          <w:b/>
          <w:color w:val="000000"/>
          <w:sz w:val="20"/>
          <w:szCs w:val="20"/>
        </w:rPr>
      </w:pPr>
      <w:r>
        <w:rPr>
          <w:rFonts w:cs="Calibri"/>
          <w:b/>
          <w:color w:val="000000"/>
          <w:sz w:val="20"/>
          <w:szCs w:val="20"/>
        </w:rPr>
      </w:r>
      <w:r>
        <w:br w:type="page"/>
      </w:r>
    </w:p>
    <w:p>
      <w:pPr>
        <w:pStyle w:val="Normal"/>
        <w:spacing w:before="0" w:after="200"/>
        <w:jc w:val="both"/>
        <w:rPr>
          <w:rFonts w:cs="Calibri"/>
          <w:b/>
          <w:color w:val="000000"/>
          <w:sz w:val="20"/>
          <w:szCs w:val="20"/>
        </w:rPr>
      </w:pPr>
      <w:r>
        <w:rPr>
          <w:rFonts w:cs="Calibri"/>
          <w:b/>
          <w:color w:val="000000"/>
          <w:sz w:val="20"/>
          <w:szCs w:val="20"/>
        </w:rPr>
        <w:t>1. WSTĘP</w:t>
      </w:r>
    </w:p>
    <w:p>
      <w:pPr>
        <w:pStyle w:val="Normal"/>
        <w:spacing w:lineRule="auto" w:line="240" w:before="0" w:after="0"/>
        <w:jc w:val="both"/>
        <w:rPr>
          <w:rFonts w:cs="Calibri"/>
          <w:color w:val="000000"/>
          <w:sz w:val="20"/>
          <w:szCs w:val="20"/>
        </w:rPr>
      </w:pPr>
      <w:r>
        <w:rPr>
          <w:rFonts w:cs="Calibri"/>
          <w:color w:val="000000"/>
          <w:sz w:val="20"/>
          <w:szCs w:val="20"/>
        </w:rPr>
      </w:r>
    </w:p>
    <w:p>
      <w:pPr>
        <w:pStyle w:val="Normal"/>
        <w:spacing w:lineRule="auto" w:line="240" w:before="0" w:after="0"/>
        <w:jc w:val="both"/>
        <w:rPr>
          <w:rFonts w:cs="Calibri"/>
          <w:color w:val="000000"/>
          <w:sz w:val="20"/>
          <w:szCs w:val="20"/>
        </w:rPr>
      </w:pPr>
      <w:r>
        <w:rPr>
          <w:rFonts w:cs="Calibri"/>
          <w:color w:val="000000"/>
          <w:sz w:val="20"/>
          <w:szCs w:val="20"/>
        </w:rPr>
        <w:t>1.1. Przedmiot STWiOR</w:t>
      </w:r>
    </w:p>
    <w:p>
      <w:pPr>
        <w:pStyle w:val="Normal"/>
        <w:spacing w:lineRule="auto" w:line="240" w:before="0" w:after="0"/>
        <w:ind w:left="360"/>
        <w:jc w:val="both"/>
        <w:rPr>
          <w:rFonts w:cs="Calibri"/>
          <w:sz w:val="20"/>
          <w:szCs w:val="20"/>
        </w:rPr>
      </w:pPr>
      <w:r>
        <w:rPr>
          <w:rFonts w:cs="Calibri"/>
          <w:sz w:val="20"/>
          <w:szCs w:val="20"/>
        </w:rPr>
        <w:t xml:space="preserve">Przedmiotem niniejszej specyfikacji technicznej (STWIOR ) są wymagania ogólne dotyczące wykonania </w:t>
        <w:br/>
        <w:t>i odbioru robót związanych z wykonaniem warstwy ścieralnej przy wykonaniu przy zadaniu pn.: „</w:t>
      </w:r>
      <w:r>
        <w:rPr>
          <w:rFonts w:cs="Calibri" w:ascii="Cambria" w:hAnsi="Cambria"/>
          <w:b/>
          <w:bCs/>
          <w:sz w:val="20"/>
          <w:szCs w:val="20"/>
        </w:rPr>
        <w:t>Remonty nawierzchni mineralno-bitumicznych dróg gminnych w 202</w:t>
      </w:r>
      <w:r>
        <w:rPr>
          <w:rFonts w:cs="Calibri" w:ascii="Cambria" w:hAnsi="Cambria"/>
          <w:b/>
          <w:bCs/>
          <w:sz w:val="20"/>
          <w:szCs w:val="20"/>
        </w:rPr>
        <w:t>6</w:t>
      </w:r>
      <w:r>
        <w:rPr>
          <w:rFonts w:cs="Calibri" w:ascii="Cambria" w:hAnsi="Cambria"/>
          <w:b/>
          <w:bCs/>
          <w:sz w:val="20"/>
          <w:szCs w:val="20"/>
        </w:rPr>
        <w:t xml:space="preserve"> roku</w:t>
      </w:r>
      <w:r>
        <w:rPr>
          <w:rFonts w:cs="Calibri"/>
          <w:sz w:val="20"/>
          <w:szCs w:val="20"/>
        </w:rPr>
        <w:t>”.</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1.2. Zakres stosowania STWIOR</w:t>
      </w:r>
    </w:p>
    <w:p>
      <w:pPr>
        <w:pStyle w:val="Normal"/>
        <w:spacing w:lineRule="auto" w:line="240" w:before="0" w:after="0"/>
        <w:ind w:left="364"/>
        <w:jc w:val="both"/>
        <w:rPr>
          <w:rFonts w:cs="Calibri"/>
          <w:sz w:val="20"/>
          <w:szCs w:val="20"/>
        </w:rPr>
      </w:pPr>
      <w:r>
        <w:rPr>
          <w:rFonts w:cs="Calibri"/>
          <w:sz w:val="20"/>
          <w:szCs w:val="20"/>
        </w:rPr>
        <w:t>STWIORB jest stosowana jako dokument przetargowy i kontraktowy przy zlecaniu i realizacji robót wymienionych w p 1.</w:t>
      </w:r>
    </w:p>
    <w:p>
      <w:pPr>
        <w:pStyle w:val="Normal"/>
        <w:spacing w:lineRule="auto" w:line="240" w:before="0" w:after="0"/>
        <w:ind w:left="364"/>
        <w:jc w:val="both"/>
        <w:rPr>
          <w:rFonts w:cs="Calibri"/>
          <w:sz w:val="20"/>
          <w:szCs w:val="20"/>
        </w:rPr>
      </w:pPr>
      <w:r>
        <w:rPr>
          <w:rFonts w:cs="Calibri"/>
          <w:sz w:val="20"/>
          <w:szCs w:val="20"/>
        </w:rPr>
      </w:r>
      <w:bookmarkStart w:id="0" w:name="_GoBack"/>
      <w:bookmarkStart w:id="1" w:name="_GoBack"/>
      <w:bookmarkEnd w:id="1"/>
    </w:p>
    <w:p>
      <w:pPr>
        <w:pStyle w:val="Normal"/>
        <w:spacing w:lineRule="auto" w:line="240" w:before="0" w:after="0"/>
        <w:jc w:val="both"/>
        <w:rPr>
          <w:rFonts w:cs="Calibri"/>
          <w:sz w:val="20"/>
          <w:szCs w:val="20"/>
        </w:rPr>
      </w:pPr>
      <w:r>
        <w:rPr>
          <w:rFonts w:cs="Calibri"/>
          <w:sz w:val="20"/>
          <w:szCs w:val="20"/>
        </w:rPr>
        <w:t>1.3. Zakres robót objętych STWIORB</w:t>
      </w:r>
    </w:p>
    <w:p>
      <w:pPr>
        <w:pStyle w:val="Normal"/>
        <w:spacing w:lineRule="auto" w:line="240" w:before="0" w:after="0"/>
        <w:ind w:left="364"/>
        <w:jc w:val="both"/>
        <w:rPr>
          <w:rFonts w:cs="Calibri"/>
          <w:sz w:val="20"/>
          <w:szCs w:val="20"/>
        </w:rPr>
      </w:pPr>
      <w:r>
        <w:rPr>
          <w:rFonts w:cs="Calibri"/>
          <w:sz w:val="20"/>
          <w:szCs w:val="20"/>
        </w:rPr>
        <w:t xml:space="preserve">Ustalenia zawarte w niniejszej specyfikacji dotyczą zasad prowadzenia robót związanych z wykonaniem </w:t>
        <w:br/>
        <w:t>i odbiorem warstwy ścieralnej z betonu asfaltowego wg PN-EN 13108-1 [47] i WT-2 Nawierzchnie asfaltowe 2010 [65] z mieszanki mineralno-asfaltowej dostarczonej od producenta. W przypadku produkcji mieszanki mineralno-asfaltowej przez Wykonawcę dla potrzeb budowy, Wykonawca zobowiązany jest prowadzić Zakładową kontrolę produkcji (ZKP) Przewiduje się wykonanie warstwy ścieralnej z mieszanki AC 11S oraz AC8S o wg PT.</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1.4. Określenia podstawowe</w:t>
      </w:r>
    </w:p>
    <w:p>
      <w:pPr>
        <w:pStyle w:val="Normal"/>
        <w:spacing w:lineRule="auto" w:line="240" w:before="0" w:after="0"/>
        <w:ind w:hanging="516" w:left="851"/>
        <w:jc w:val="both"/>
        <w:rPr>
          <w:rFonts w:cs="Calibri"/>
          <w:sz w:val="20"/>
          <w:szCs w:val="20"/>
        </w:rPr>
      </w:pPr>
      <w:r>
        <w:rPr>
          <w:rFonts w:cs="Calibri"/>
          <w:sz w:val="20"/>
          <w:szCs w:val="20"/>
        </w:rPr>
        <w:t>1.4.1. Nawierzchnia – konstrukcja składająca się z jednej lub kilku warstw służących do przejmowania i rozkładania obciążeń od ruchu pojazdów na podłoże.</w:t>
      </w:r>
    </w:p>
    <w:p>
      <w:pPr>
        <w:pStyle w:val="Normal"/>
        <w:spacing w:lineRule="auto" w:line="240" w:before="0" w:after="0"/>
        <w:ind w:hanging="516" w:left="851"/>
        <w:jc w:val="both"/>
        <w:rPr>
          <w:rFonts w:cs="Calibri"/>
          <w:sz w:val="20"/>
          <w:szCs w:val="20"/>
        </w:rPr>
      </w:pPr>
      <w:r>
        <w:rPr>
          <w:rFonts w:cs="Calibri"/>
          <w:sz w:val="20"/>
          <w:szCs w:val="20"/>
        </w:rPr>
        <w:t>1.4.2. Warstwa ścieralna – górna warstwa nawierzchni będąca w bezpośrednim kontakcie z kołami pojazdów.</w:t>
      </w:r>
    </w:p>
    <w:p>
      <w:pPr>
        <w:pStyle w:val="Normal"/>
        <w:spacing w:lineRule="auto" w:line="240" w:before="0" w:after="0"/>
        <w:ind w:hanging="516" w:left="851"/>
        <w:jc w:val="both"/>
        <w:rPr>
          <w:rFonts w:cs="Calibri"/>
          <w:sz w:val="20"/>
          <w:szCs w:val="20"/>
        </w:rPr>
      </w:pPr>
      <w:r>
        <w:rPr>
          <w:rFonts w:cs="Calibri"/>
          <w:sz w:val="20"/>
          <w:szCs w:val="20"/>
        </w:rPr>
        <w:t>1.4.3. Mieszanka mineralno-asfaltowa – mieszanka kruszyw i lepiszcza asfaltowego.</w:t>
      </w:r>
    </w:p>
    <w:p>
      <w:pPr>
        <w:pStyle w:val="Normal"/>
        <w:spacing w:lineRule="auto" w:line="240" w:before="0" w:after="0"/>
        <w:ind w:hanging="516" w:left="851"/>
        <w:jc w:val="both"/>
        <w:rPr>
          <w:rFonts w:cs="Calibri"/>
          <w:sz w:val="20"/>
          <w:szCs w:val="20"/>
        </w:rPr>
      </w:pPr>
      <w:r>
        <w:rPr>
          <w:rFonts w:cs="Calibri"/>
          <w:sz w:val="20"/>
          <w:szCs w:val="20"/>
        </w:rPr>
        <w:t>1.4.4. Wymiar mieszanki mineralno-asfaltowej – określenie mieszanki mineralno-asfaltowej, ze względu na największy wymiar kruszywa D, np. wymiar 5, 8, 11.</w:t>
      </w:r>
    </w:p>
    <w:p>
      <w:pPr>
        <w:pStyle w:val="Normal"/>
        <w:spacing w:lineRule="auto" w:line="240" w:before="0" w:after="0"/>
        <w:ind w:hanging="516" w:left="851"/>
        <w:jc w:val="both"/>
        <w:rPr>
          <w:rFonts w:cs="Calibri"/>
          <w:sz w:val="20"/>
          <w:szCs w:val="20"/>
        </w:rPr>
      </w:pPr>
      <w:r>
        <w:rPr>
          <w:rFonts w:cs="Calibri"/>
          <w:sz w:val="20"/>
          <w:szCs w:val="20"/>
        </w:rPr>
        <w:t>1.4.5. Beton asfaltowy – mieszanka mineralno-asfaltowa, w której kruszywo o uziarnieniu ciągłym lub nieciągłym tworzy strukturę wzajemnie klinującą się.</w:t>
      </w:r>
    </w:p>
    <w:p>
      <w:pPr>
        <w:pStyle w:val="Normal"/>
        <w:spacing w:lineRule="auto" w:line="240" w:before="0" w:after="0"/>
        <w:ind w:hanging="516" w:left="851"/>
        <w:jc w:val="both"/>
        <w:rPr>
          <w:rFonts w:cs="Calibri"/>
          <w:sz w:val="20"/>
          <w:szCs w:val="20"/>
        </w:rPr>
      </w:pPr>
      <w:r>
        <w:rPr>
          <w:rFonts w:cs="Calibri"/>
          <w:sz w:val="20"/>
          <w:szCs w:val="20"/>
        </w:rPr>
        <w:t>1.4.6. Uziarnienie – skład ziarnowy kruszywa, wyrażony w procentach masy ziaren przechodzących przez określony zestaw sit.</w:t>
      </w:r>
    </w:p>
    <w:p>
      <w:pPr>
        <w:pStyle w:val="Normal"/>
        <w:spacing w:lineRule="auto" w:line="240" w:before="0" w:after="0"/>
        <w:ind w:hanging="516" w:left="851"/>
        <w:jc w:val="both"/>
        <w:rPr>
          <w:rFonts w:cs="Calibri"/>
          <w:sz w:val="20"/>
          <w:szCs w:val="20"/>
        </w:rPr>
      </w:pPr>
      <w:r>
        <w:rPr>
          <w:rFonts w:cs="Calibri"/>
          <w:sz w:val="20"/>
          <w:szCs w:val="20"/>
        </w:rPr>
        <w:t>1.4.7. Kategoria ruchu – obciążenie drogi ruchem samochodowym, wyrażone w osiach obliczeniowych (100 kN) wg „Katalogu typowych konstrukcji nawierzchni podatnych i półsztywnych” GDDP-IBDiM [68].</w:t>
      </w:r>
    </w:p>
    <w:p>
      <w:pPr>
        <w:pStyle w:val="Normal"/>
        <w:spacing w:lineRule="auto" w:line="240" w:before="0" w:after="0"/>
        <w:ind w:hanging="516" w:left="851"/>
        <w:jc w:val="both"/>
        <w:rPr>
          <w:rFonts w:cs="Calibri"/>
          <w:sz w:val="20"/>
          <w:szCs w:val="20"/>
        </w:rPr>
      </w:pPr>
      <w:r>
        <w:rPr>
          <w:rFonts w:cs="Calibri"/>
          <w:sz w:val="20"/>
          <w:szCs w:val="20"/>
        </w:rPr>
        <w:t>1.4.8. Wymiar kruszywa – wielkość ziaren kruszywa, określona przez dolny (d) i górny (D) wymiar sita.</w:t>
      </w:r>
    </w:p>
    <w:p>
      <w:pPr>
        <w:pStyle w:val="Normal"/>
        <w:spacing w:lineRule="auto" w:line="240" w:before="0" w:after="0"/>
        <w:ind w:hanging="516" w:left="851"/>
        <w:jc w:val="both"/>
        <w:rPr>
          <w:rFonts w:cs="Calibri"/>
          <w:sz w:val="20"/>
          <w:szCs w:val="20"/>
        </w:rPr>
      </w:pPr>
      <w:r>
        <w:rPr>
          <w:rFonts w:cs="Calibri"/>
          <w:sz w:val="20"/>
          <w:szCs w:val="20"/>
        </w:rPr>
        <w:t>1.4.9. Kruszywo grube – kruszywo z ziaren o wymiarze: D ≤ 45 mm oraz d &gt; 2 mm.</w:t>
      </w:r>
    </w:p>
    <w:p>
      <w:pPr>
        <w:pStyle w:val="Normal"/>
        <w:spacing w:lineRule="auto" w:line="240" w:before="0" w:after="0"/>
        <w:ind w:hanging="516" w:left="851"/>
        <w:jc w:val="both"/>
        <w:rPr>
          <w:rFonts w:cs="Calibri"/>
          <w:sz w:val="20"/>
          <w:szCs w:val="20"/>
        </w:rPr>
      </w:pPr>
      <w:r>
        <w:rPr>
          <w:rFonts w:cs="Calibri"/>
          <w:sz w:val="20"/>
          <w:szCs w:val="20"/>
        </w:rPr>
        <w:t>1.4.10. Kruszywo drobne – kruszywo z ziaren o wymiarze: D ≤ 2 mm, którego większa część pozostaje na sicie 0,063 mm.</w:t>
      </w:r>
    </w:p>
    <w:p>
      <w:pPr>
        <w:pStyle w:val="Normal"/>
        <w:spacing w:lineRule="auto" w:line="240" w:before="0" w:after="0"/>
        <w:ind w:hanging="516" w:left="851"/>
        <w:jc w:val="both"/>
        <w:rPr>
          <w:rFonts w:cs="Calibri"/>
          <w:sz w:val="20"/>
          <w:szCs w:val="20"/>
        </w:rPr>
      </w:pPr>
      <w:r>
        <w:rPr>
          <w:rFonts w:cs="Calibri"/>
          <w:sz w:val="20"/>
          <w:szCs w:val="20"/>
        </w:rPr>
        <w:t>1.4.11. Pył – kruszywo z ziaren przechodzących przez sito 0,063 mm.</w:t>
      </w:r>
    </w:p>
    <w:p>
      <w:pPr>
        <w:pStyle w:val="Normal"/>
        <w:spacing w:lineRule="auto" w:line="240" w:before="0" w:after="0"/>
        <w:ind w:hanging="516" w:left="851"/>
        <w:jc w:val="both"/>
        <w:rPr>
          <w:rFonts w:cs="Calibri"/>
          <w:sz w:val="20"/>
          <w:szCs w:val="20"/>
        </w:rPr>
      </w:pPr>
      <w:r>
        <w:rPr>
          <w:rFonts w:cs="Calibri"/>
          <w:sz w:val="20"/>
          <w:szCs w:val="20"/>
        </w:rPr>
        <w:t>1.4.12. 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pPr>
        <w:pStyle w:val="Normal"/>
        <w:spacing w:lineRule="auto" w:line="240" w:before="0" w:after="0"/>
        <w:ind w:hanging="516" w:left="851"/>
        <w:jc w:val="both"/>
        <w:rPr>
          <w:rFonts w:cs="Calibri"/>
          <w:sz w:val="20"/>
          <w:szCs w:val="20"/>
        </w:rPr>
      </w:pPr>
      <w:r>
        <w:rPr>
          <w:rFonts w:cs="Calibri"/>
          <w:sz w:val="20"/>
          <w:szCs w:val="20"/>
        </w:rPr>
        <w:t>1.4.13. Kationowa emulsja asfaltowa – emulsja, w której emulgator nadaje dodatnie ładunki cząstkom zdyspergowanego asfaltu.</w:t>
      </w:r>
    </w:p>
    <w:p>
      <w:pPr>
        <w:pStyle w:val="Normal"/>
        <w:spacing w:lineRule="auto" w:line="240" w:before="0" w:after="0"/>
        <w:ind w:hanging="516" w:left="851"/>
        <w:jc w:val="both"/>
        <w:rPr>
          <w:rFonts w:cs="Calibri"/>
          <w:sz w:val="20"/>
          <w:szCs w:val="20"/>
        </w:rPr>
      </w:pPr>
      <w:r>
        <w:rPr>
          <w:rFonts w:cs="Calibri"/>
          <w:sz w:val="20"/>
          <w:szCs w:val="20"/>
        </w:rPr>
        <w:t xml:space="preserve">1.4.14. Pozostałe określenia podstawowe są zgodne z obowiązującymi, odpowiednimi polskimi normami </w:t>
        <w:br/>
        <w:t>i z definicjami podanymi w STWIORB D-M-00.00.00 „Wymagania ogólne” pkt 1.4.</w:t>
      </w:r>
    </w:p>
    <w:p>
      <w:pPr>
        <w:pStyle w:val="Normal"/>
        <w:spacing w:lineRule="auto" w:line="240" w:before="0" w:after="0"/>
        <w:ind w:hanging="516" w:left="851"/>
        <w:jc w:val="both"/>
        <w:rPr>
          <w:rFonts w:cs="Calibri"/>
          <w:sz w:val="20"/>
          <w:szCs w:val="20"/>
        </w:rPr>
      </w:pPr>
      <w:r>
        <w:rPr>
          <w:rFonts w:cs="Calibri"/>
          <w:sz w:val="20"/>
          <w:szCs w:val="20"/>
        </w:rPr>
        <w:t>1.4.15. Symbole i skróty dodatkowe</w:t>
      </w:r>
    </w:p>
    <w:p>
      <w:pPr>
        <w:pStyle w:val="Normal"/>
        <w:spacing w:lineRule="auto" w:line="240" w:before="0" w:after="0"/>
        <w:ind w:hanging="516" w:left="1418"/>
        <w:jc w:val="both"/>
        <w:rPr>
          <w:rFonts w:cs="Calibri"/>
          <w:sz w:val="20"/>
          <w:szCs w:val="20"/>
        </w:rPr>
      </w:pPr>
      <w:r>
        <w:rPr>
          <w:rFonts w:cs="Calibri"/>
          <w:sz w:val="20"/>
          <w:szCs w:val="20"/>
        </w:rPr>
        <w:t xml:space="preserve">ACS </w:t>
        <w:tab/>
        <w:t>– beton asfaltowy do warstwy ścieralnej</w:t>
      </w:r>
    </w:p>
    <w:p>
      <w:pPr>
        <w:pStyle w:val="Normal"/>
        <w:spacing w:lineRule="auto" w:line="240" w:before="0" w:after="0"/>
        <w:ind w:hanging="516" w:left="1418"/>
        <w:jc w:val="both"/>
        <w:rPr>
          <w:rFonts w:cs="Calibri"/>
          <w:sz w:val="20"/>
          <w:szCs w:val="20"/>
        </w:rPr>
      </w:pPr>
      <w:r>
        <w:rPr>
          <w:rFonts w:cs="Calibri"/>
          <w:sz w:val="20"/>
          <w:szCs w:val="20"/>
        </w:rPr>
        <w:t xml:space="preserve">D </w:t>
        <w:tab/>
        <w:t>– górny wymiar sita (przy określaniu wielkości ziaren kruszywa),</w:t>
      </w:r>
    </w:p>
    <w:p>
      <w:pPr>
        <w:pStyle w:val="Normal"/>
        <w:spacing w:lineRule="auto" w:line="240" w:before="0" w:after="0"/>
        <w:ind w:hanging="516" w:left="1418"/>
        <w:jc w:val="both"/>
        <w:rPr>
          <w:rFonts w:cs="Calibri"/>
          <w:sz w:val="20"/>
          <w:szCs w:val="20"/>
        </w:rPr>
      </w:pPr>
      <w:r>
        <w:rPr>
          <w:rFonts w:cs="Calibri"/>
          <w:sz w:val="20"/>
          <w:szCs w:val="20"/>
        </w:rPr>
        <w:t xml:space="preserve">d </w:t>
        <w:tab/>
        <w:t>– dolny wymiar sita (przy określaniu wielkości ziaren kruszywa),</w:t>
      </w:r>
    </w:p>
    <w:p>
      <w:pPr>
        <w:pStyle w:val="Normal"/>
        <w:spacing w:lineRule="auto" w:line="240" w:before="0" w:after="0"/>
        <w:ind w:hanging="516" w:left="1418"/>
        <w:jc w:val="both"/>
        <w:rPr>
          <w:rFonts w:cs="Calibri"/>
          <w:sz w:val="20"/>
          <w:szCs w:val="20"/>
        </w:rPr>
      </w:pPr>
      <w:r>
        <w:rPr>
          <w:rFonts w:cs="Calibri"/>
          <w:sz w:val="20"/>
          <w:szCs w:val="20"/>
        </w:rPr>
        <w:t xml:space="preserve">C </w:t>
        <w:tab/>
        <w:t>– kationowa emulsja asfaltowa,</w:t>
      </w:r>
    </w:p>
    <w:p>
      <w:pPr>
        <w:pStyle w:val="Normal"/>
        <w:spacing w:lineRule="auto" w:line="240" w:before="0" w:after="0"/>
        <w:ind w:hanging="516" w:left="1418"/>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1.5. Ogólne wymagania dotyczące robót</w:t>
      </w:r>
    </w:p>
    <w:p>
      <w:pPr>
        <w:pStyle w:val="Normal"/>
        <w:spacing w:lineRule="auto" w:line="240" w:before="0" w:after="0"/>
        <w:ind w:left="364"/>
        <w:jc w:val="both"/>
        <w:rPr>
          <w:rFonts w:cs="Calibri"/>
          <w:sz w:val="20"/>
          <w:szCs w:val="20"/>
        </w:rPr>
      </w:pPr>
      <w:r>
        <w:rPr>
          <w:rFonts w:cs="Calibri"/>
          <w:sz w:val="20"/>
          <w:szCs w:val="20"/>
        </w:rPr>
        <w:t>Ogólne wymagania dotyczące robót podano w STWIORB D-M-00.00.00 „Wymagania ogólne” [1] pkt 1.5.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2. MATERIAŁY</w:t>
      </w:r>
    </w:p>
    <w:p>
      <w:pPr>
        <w:pStyle w:val="Normal"/>
        <w:spacing w:lineRule="auto" w:line="240" w:before="0" w:after="0"/>
        <w:jc w:val="both"/>
        <w:rPr>
          <w:rFonts w:cs="Calibri"/>
          <w:sz w:val="20"/>
          <w:szCs w:val="20"/>
        </w:rPr>
      </w:pPr>
      <w:r>
        <w:rPr>
          <w:rFonts w:cs="Calibri"/>
          <w:sz w:val="20"/>
          <w:szCs w:val="20"/>
        </w:rPr>
        <w:t>2.1. Ogólne wymagania dotyczące materiałów</w:t>
      </w:r>
    </w:p>
    <w:p>
      <w:pPr>
        <w:pStyle w:val="Normal"/>
        <w:spacing w:lineRule="auto" w:line="240" w:before="0" w:after="0"/>
        <w:ind w:left="364"/>
        <w:jc w:val="both"/>
        <w:rPr>
          <w:rFonts w:cs="Calibri"/>
          <w:sz w:val="20"/>
          <w:szCs w:val="20"/>
        </w:rPr>
      </w:pPr>
      <w:r>
        <w:rPr>
          <w:rFonts w:cs="Calibri"/>
          <w:sz w:val="20"/>
          <w:szCs w:val="20"/>
        </w:rPr>
        <w:t>Ogólne wymagania dotyczące materiałów, ich pozyskiwania i składowania, podano w STWIORB D-M-00.00.00 „Wymagania ogólne” [1] pkt 2.</w:t>
      </w:r>
    </w:p>
    <w:p>
      <w:pPr>
        <w:pStyle w:val="Normal"/>
        <w:spacing w:lineRule="auto" w:line="240" w:before="0" w:after="0"/>
        <w:ind w:left="364"/>
        <w:jc w:val="both"/>
        <w:rPr>
          <w:rFonts w:cs="Calibri"/>
          <w:sz w:val="20"/>
          <w:szCs w:val="20"/>
        </w:rPr>
      </w:pPr>
      <w:r>
        <w:rPr>
          <w:rFonts w:cs="Calibri"/>
          <w:sz w:val="20"/>
          <w:szCs w:val="20"/>
        </w:rPr>
      </w:r>
      <w:r>
        <w:br w:type="page"/>
      </w:r>
    </w:p>
    <w:p>
      <w:pPr>
        <w:pStyle w:val="Normal"/>
        <w:spacing w:before="0" w:after="200"/>
        <w:rPr>
          <w:rFonts w:cs="Calibri"/>
          <w:sz w:val="20"/>
          <w:szCs w:val="20"/>
        </w:rPr>
      </w:pPr>
      <w:r>
        <w:rPr>
          <w:rFonts w:cs="Calibri"/>
          <w:sz w:val="20"/>
          <w:szCs w:val="20"/>
        </w:rPr>
        <w:t>2.2. Lepiszcza asfaltowe</w:t>
      </w:r>
    </w:p>
    <w:p>
      <w:pPr>
        <w:pStyle w:val="Normal"/>
        <w:spacing w:lineRule="auto" w:line="240" w:before="0" w:after="0"/>
        <w:ind w:left="364"/>
        <w:jc w:val="both"/>
        <w:rPr>
          <w:rFonts w:cs="Calibri"/>
          <w:sz w:val="20"/>
          <w:szCs w:val="20"/>
        </w:rPr>
      </w:pPr>
      <w:r>
        <w:rPr>
          <w:rFonts w:cs="Calibri"/>
          <w:sz w:val="20"/>
          <w:szCs w:val="20"/>
        </w:rPr>
        <w:t>Należy stosować asfalty drogowe wg PN-EN 12591 [27] wielorodzajowy 50/70 Asfalty drogowe</w:t>
      </w:r>
    </w:p>
    <w:p>
      <w:pPr>
        <w:pStyle w:val="Normal"/>
        <w:spacing w:lineRule="auto" w:line="240" w:before="0" w:after="0"/>
        <w:ind w:left="364"/>
        <w:jc w:val="both"/>
        <w:rPr>
          <w:rFonts w:cs="Calibri"/>
          <w:sz w:val="20"/>
          <w:szCs w:val="20"/>
        </w:rPr>
      </w:pPr>
      <w:r>
        <w:rPr>
          <w:rFonts w:cs="Calibri"/>
          <w:sz w:val="20"/>
          <w:szCs w:val="20"/>
        </w:rPr>
        <w:t>powinny spełniać wymagania podane w tablicy 3.</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3. Wymagania wobec asfaltów drogowych wg PN-EN 12591 [27]</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center"/>
        <w:rPr>
          <w:rFonts w:cs="Calibri"/>
          <w:sz w:val="20"/>
          <w:szCs w:val="20"/>
        </w:rPr>
      </w:pPr>
      <w:r>
        <w:rPr/>
        <w:drawing>
          <wp:inline distT="0" distB="0" distL="0" distR="0">
            <wp:extent cx="5476875" cy="3476625"/>
            <wp:effectExtent l="0" t="0" r="0" b="0"/>
            <wp:docPr id="1" name="Obraz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1" descr=""/>
                    <pic:cNvPicPr>
                      <a:picLocks noChangeAspect="1" noChangeArrowheads="1"/>
                    </pic:cNvPicPr>
                  </pic:nvPicPr>
                  <pic:blipFill>
                    <a:blip r:embed="rId2"/>
                    <a:stretch>
                      <a:fillRect/>
                    </a:stretch>
                  </pic:blipFill>
                  <pic:spPr bwMode="auto">
                    <a:xfrm>
                      <a:off x="0" y="0"/>
                      <a:ext cx="5476875" cy="3476625"/>
                    </a:xfrm>
                    <a:prstGeom prst="rect">
                      <a:avLst/>
                    </a:prstGeom>
                  </pic:spPr>
                </pic:pic>
              </a:graphicData>
            </a:graphic>
          </wp:inline>
        </w:drawing>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firstLine="344" w:left="364"/>
        <w:jc w:val="both"/>
        <w:rPr>
          <w:rFonts w:cs="Calibri"/>
          <w:sz w:val="20"/>
          <w:szCs w:val="20"/>
        </w:rPr>
      </w:pPr>
      <w:r>
        <w:rPr>
          <w:rFonts w:cs="Calibri"/>
          <w:sz w:val="20"/>
          <w:szCs w:val="20"/>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pPr>
        <w:pStyle w:val="Normal"/>
        <w:spacing w:lineRule="auto" w:line="240" w:before="0" w:after="0"/>
        <w:ind w:firstLine="344"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2.3. Kruszywo</w:t>
      </w:r>
    </w:p>
    <w:p>
      <w:pPr>
        <w:pStyle w:val="Normal"/>
        <w:spacing w:lineRule="auto" w:line="240" w:before="0" w:after="0"/>
        <w:ind w:left="364"/>
        <w:jc w:val="both"/>
        <w:rPr>
          <w:rFonts w:cs="Calibri"/>
          <w:sz w:val="20"/>
          <w:szCs w:val="20"/>
        </w:rPr>
      </w:pPr>
      <w:r>
        <w:rPr>
          <w:rFonts w:cs="Calibri"/>
          <w:sz w:val="20"/>
          <w:szCs w:val="20"/>
        </w:rPr>
        <w:t xml:space="preserve">Do warstwy ścieralnej z betonu asfaltowego należy stosować kruszywo według PN-EN 13043 [44] i WT-1 Kruszywa 2010 [64], obejmujące kruszywo grube , kruszywo drobne i wypełniacz. Kruszywa powinny spełniać wymagania podane w załączniku 2 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t>
        <w:br/>
        <w:t>w urządzenia do aeracji.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2.4. Środek adhezyjny</w:t>
      </w:r>
    </w:p>
    <w:p>
      <w:pPr>
        <w:pStyle w:val="Normal"/>
        <w:spacing w:lineRule="auto" w:line="240" w:before="0" w:after="0"/>
        <w:ind w:left="364"/>
        <w:jc w:val="both"/>
        <w:rPr>
          <w:rFonts w:cs="Calibri"/>
          <w:sz w:val="20"/>
          <w:szCs w:val="20"/>
        </w:rPr>
      </w:pPr>
      <w:r>
        <w:rPr>
          <w:rFonts w:cs="Calibri"/>
          <w:sz w:val="20"/>
          <w:szCs w:val="20"/>
        </w:rPr>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w:t>
      </w:r>
    </w:p>
    <w:p>
      <w:pPr>
        <w:pStyle w:val="Normal"/>
        <w:spacing w:lineRule="auto" w:line="240" w:before="0" w:after="0"/>
        <w:ind w:left="364"/>
        <w:jc w:val="both"/>
        <w:rPr>
          <w:rFonts w:cs="Calibri"/>
          <w:sz w:val="20"/>
          <w:szCs w:val="20"/>
        </w:rPr>
      </w:pPr>
      <w:r>
        <w:rPr>
          <w:rFonts w:cs="Calibri"/>
          <w:sz w:val="20"/>
          <w:szCs w:val="20"/>
        </w:rPr>
        <w:t>wartość przyczepności określona według PN-EN 12697-11, metoda C [34] wynosiła co najmniej 80%.</w:t>
      </w:r>
    </w:p>
    <w:p>
      <w:pPr>
        <w:pStyle w:val="Normal"/>
        <w:spacing w:lineRule="auto" w:line="240" w:before="0" w:after="0"/>
        <w:ind w:left="364"/>
        <w:jc w:val="both"/>
        <w:rPr>
          <w:rFonts w:cs="Calibri"/>
          <w:sz w:val="20"/>
          <w:szCs w:val="20"/>
        </w:rPr>
      </w:pPr>
      <w:r>
        <w:rPr>
          <w:rFonts w:cs="Calibri"/>
          <w:sz w:val="20"/>
          <w:szCs w:val="20"/>
        </w:rPr>
        <w:t>Środek adhezyjny powinien odpowiadać wymaganiom określonym przez producenta.</w:t>
      </w:r>
    </w:p>
    <w:p>
      <w:pPr>
        <w:pStyle w:val="Normal"/>
        <w:spacing w:lineRule="auto" w:line="240" w:before="0" w:after="0"/>
        <w:ind w:left="364"/>
        <w:jc w:val="both"/>
        <w:rPr>
          <w:rFonts w:cs="Calibri"/>
          <w:sz w:val="20"/>
          <w:szCs w:val="20"/>
        </w:rPr>
      </w:pPr>
      <w:r>
        <w:rPr>
          <w:rFonts w:cs="Calibri"/>
          <w:sz w:val="20"/>
          <w:szCs w:val="20"/>
        </w:rPr>
        <w:t>Składowanie środka adhezyjnego jest dozwolone tylko w oryginalnych opakowaniach, w warunkach określonych przez producenta.</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2.5. Materiały do uszczelnienia połączeń i krawędzi</w:t>
      </w:r>
    </w:p>
    <w:p>
      <w:pPr>
        <w:pStyle w:val="Normal"/>
        <w:spacing w:lineRule="auto" w:line="240" w:before="0" w:after="0"/>
        <w:ind w:left="364"/>
        <w:jc w:val="both"/>
        <w:rPr>
          <w:rFonts w:cs="Calibri"/>
          <w:sz w:val="20"/>
          <w:szCs w:val="20"/>
        </w:rPr>
      </w:pPr>
      <w:r>
        <w:rPr>
          <w:rFonts w:cs="Calibri"/>
          <w:sz w:val="20"/>
          <w:szCs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pPr>
        <w:pStyle w:val="Normal"/>
        <w:spacing w:lineRule="auto" w:line="240" w:before="0" w:after="0"/>
        <w:ind w:left="364"/>
        <w:jc w:val="both"/>
        <w:rPr>
          <w:rFonts w:cs="Calibri"/>
          <w:sz w:val="20"/>
          <w:szCs w:val="20"/>
        </w:rPr>
      </w:pPr>
      <w:r>
        <w:rPr>
          <w:rFonts w:cs="Calibri"/>
          <w:sz w:val="20"/>
          <w:szCs w:val="20"/>
        </w:rPr>
        <w:t>a) materiały termoplastyczne, jak taśmy asfaltowe, pasty itp. według norm lub aprobat technicznych,</w:t>
      </w:r>
    </w:p>
    <w:p>
      <w:pPr>
        <w:pStyle w:val="Normal"/>
        <w:spacing w:lineRule="auto" w:line="240" w:before="0" w:after="0"/>
        <w:ind w:left="364"/>
        <w:jc w:val="both"/>
        <w:rPr>
          <w:rFonts w:cs="Calibri"/>
          <w:sz w:val="20"/>
          <w:szCs w:val="20"/>
        </w:rPr>
      </w:pPr>
      <w:r>
        <w:rPr>
          <w:rFonts w:cs="Calibri"/>
          <w:sz w:val="20"/>
          <w:szCs w:val="20"/>
        </w:rPr>
        <w:t>b) emulsję asfaltową według PN-EN 13808 [58] lub inne lepiszcza według norm lub aprobat technicznych</w:t>
      </w:r>
    </w:p>
    <w:p>
      <w:pPr>
        <w:pStyle w:val="Normal"/>
        <w:spacing w:lineRule="auto" w:line="240" w:before="0" w:after="0"/>
        <w:ind w:left="364"/>
        <w:jc w:val="both"/>
        <w:rPr>
          <w:rFonts w:cs="Calibri"/>
          <w:sz w:val="20"/>
          <w:szCs w:val="20"/>
        </w:rPr>
      </w:pPr>
      <w:r>
        <w:rPr>
          <w:rFonts w:cs="Calibri"/>
          <w:sz w:val="20"/>
          <w:szCs w:val="20"/>
        </w:rPr>
        <w:t>Grubość materiału termoplastycznego do spoiny powinna wynosić:</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nie mniej niż 10 mm przy grubości warstwy technologicznej do 2,5 cm,</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nie mniej niż 15 mm przy grubości warstwy technologicznej większej niż 2,5 cm.</w:t>
      </w:r>
    </w:p>
    <w:p>
      <w:pPr>
        <w:pStyle w:val="Normal"/>
        <w:spacing w:lineRule="auto" w:line="240" w:before="0" w:after="0"/>
        <w:ind w:left="364"/>
        <w:jc w:val="both"/>
        <w:rPr>
          <w:rFonts w:cs="Calibri"/>
          <w:sz w:val="20"/>
          <w:szCs w:val="20"/>
        </w:rPr>
      </w:pPr>
      <w:r>
        <w:rPr>
          <w:rFonts w:cs="Calibri"/>
          <w:sz w:val="20"/>
          <w:szCs w:val="20"/>
        </w:rPr>
        <w:t xml:space="preserve">Składowanie materiałów termoplastycznych jest dozwolone tylko w oryginalnych opakowaniach producenta </w:t>
        <w:br/>
        <w:t>w warunkach określonych w aprobacie technicznej.</w:t>
      </w:r>
    </w:p>
    <w:p>
      <w:pPr>
        <w:pStyle w:val="Normal"/>
        <w:spacing w:lineRule="auto" w:line="240" w:before="0" w:after="0"/>
        <w:ind w:left="364"/>
        <w:jc w:val="both"/>
        <w:rPr>
          <w:rFonts w:cs="Calibri"/>
          <w:sz w:val="20"/>
          <w:szCs w:val="20"/>
        </w:rPr>
      </w:pPr>
      <w:r>
        <w:rPr>
          <w:rFonts w:cs="Calibri"/>
          <w:sz w:val="20"/>
          <w:szCs w:val="20"/>
        </w:rPr>
        <w:t>Do uszczelnienia krawędzi należy stosować asfalt drogowy wg PN-EN 12591 [27], asfalt modyfikowany polimerami wg PN-EN 14023 [59] „metoda na gorąco”. Dopuszcza się inne rodzaje lepiszcza wg norm lub aprobat technicznych.</w:t>
      </w:r>
    </w:p>
    <w:p>
      <w:pPr>
        <w:pStyle w:val="Normal"/>
        <w:spacing w:lineRule="auto" w:line="240" w:before="0" w:after="0"/>
        <w:ind w:left="364"/>
        <w:jc w:val="both"/>
        <w:rPr>
          <w:rFonts w:cs="Calibri"/>
          <w:sz w:val="20"/>
          <w:szCs w:val="20"/>
        </w:rPr>
      </w:pPr>
      <w:r>
        <w:rPr>
          <w:rFonts w:cs="Calibri"/>
          <w:sz w:val="20"/>
          <w:szCs w:val="20"/>
        </w:rPr>
        <w:t>Inwestor zastrzega sobie aby układanie warstw bitumicznych na tej inwestycji wykonać bez złączy podłużnych tj całą szer. Jezdni.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2.6. Materiały do złączenia warstw konstrukcji</w:t>
      </w:r>
    </w:p>
    <w:p>
      <w:pPr>
        <w:pStyle w:val="Normal"/>
        <w:spacing w:lineRule="auto" w:line="240" w:before="0" w:after="0"/>
        <w:ind w:left="364"/>
        <w:jc w:val="both"/>
        <w:rPr>
          <w:rFonts w:cs="Calibri"/>
          <w:sz w:val="20"/>
          <w:szCs w:val="20"/>
        </w:rPr>
      </w:pPr>
      <w:r>
        <w:rPr>
          <w:rFonts w:cs="Calibri"/>
          <w:sz w:val="20"/>
          <w:szCs w:val="20"/>
        </w:rPr>
        <w:t>Do złączania warstw konstrukcji nawierzchni (warstwa wiążąca z warstwą ścieralną) należy stosować kationowe emulsje asfaltowe lub kationowe emulsje modyfikowane polimerami według PN-EN 13808 [58] i załącznika 3</w:t>
      </w:r>
    </w:p>
    <w:p>
      <w:pPr>
        <w:pStyle w:val="Normal"/>
        <w:spacing w:lineRule="auto" w:line="240" w:before="0" w:after="0"/>
        <w:ind w:left="364"/>
        <w:jc w:val="both"/>
        <w:rPr>
          <w:rFonts w:cs="Calibri"/>
          <w:sz w:val="20"/>
          <w:szCs w:val="20"/>
        </w:rPr>
      </w:pPr>
      <w:r>
        <w:rPr>
          <w:rFonts w:cs="Calibri"/>
          <w:sz w:val="20"/>
          <w:szCs w:val="20"/>
        </w:rPr>
        <w:t>Emulsję asfaltową można składować w opakowaniach transportowych lub w stacjonarnych zbiornikach pionowych z nalewaniem od dna. Nie należy nalewać emulsji do opakowań i zbiorników zanieczyszczonych materiałami mineralnymi.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3. SPRZĘT</w:t>
      </w:r>
    </w:p>
    <w:p>
      <w:pPr>
        <w:pStyle w:val="Normal"/>
        <w:spacing w:lineRule="auto" w:line="240" w:before="0" w:after="0"/>
        <w:jc w:val="both"/>
        <w:rPr>
          <w:rFonts w:cs="Calibri"/>
          <w:sz w:val="20"/>
          <w:szCs w:val="20"/>
        </w:rPr>
      </w:pPr>
      <w:r>
        <w:rPr>
          <w:rFonts w:cs="Calibri"/>
          <w:sz w:val="20"/>
          <w:szCs w:val="20"/>
        </w:rPr>
        <w:t>3.1. Ogólne wymagania dotyczące sprzętu</w:t>
      </w:r>
    </w:p>
    <w:p>
      <w:pPr>
        <w:pStyle w:val="Normal"/>
        <w:spacing w:lineRule="auto" w:line="240" w:before="0" w:after="0"/>
        <w:ind w:left="364"/>
        <w:jc w:val="both"/>
        <w:rPr>
          <w:rFonts w:cs="Calibri"/>
          <w:sz w:val="20"/>
          <w:szCs w:val="20"/>
        </w:rPr>
      </w:pPr>
      <w:r>
        <w:rPr>
          <w:rFonts w:cs="Calibri"/>
          <w:sz w:val="20"/>
          <w:szCs w:val="20"/>
        </w:rPr>
        <w:t>Ogólne wymagania dotyczące sprzętu podano w STWIORB D-M-00.00.00 „Wymagania ogólne” [1] pkt 3.</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3.2. Sprzęt stosowany do wykonania robót</w:t>
      </w:r>
    </w:p>
    <w:p>
      <w:pPr>
        <w:pStyle w:val="Normal"/>
        <w:spacing w:lineRule="auto" w:line="240" w:before="0" w:after="0"/>
        <w:ind w:left="364"/>
        <w:jc w:val="both"/>
        <w:rPr>
          <w:rFonts w:cs="Calibri"/>
          <w:sz w:val="20"/>
          <w:szCs w:val="20"/>
        </w:rPr>
      </w:pPr>
      <w:r>
        <w:rPr>
          <w:rFonts w:cs="Calibri"/>
          <w:sz w:val="20"/>
          <w:szCs w:val="20"/>
        </w:rPr>
        <w:t>Przy wykonywaniu robót Wykonawca w zależności od potrzeb, powinien wykazać się możliwością korzystania ze sprzętu dostosowanego do przyjętej metody robót, jak:</w:t>
      </w:r>
    </w:p>
    <w:p>
      <w:pPr>
        <w:pStyle w:val="ListParagraph"/>
        <w:numPr>
          <w:ilvl w:val="0"/>
          <w:numId w:val="1"/>
        </w:numPr>
        <w:spacing w:lineRule="auto" w:line="240" w:before="0" w:after="0"/>
        <w:contextualSpacing/>
        <w:jc w:val="both"/>
        <w:rPr>
          <w:rFonts w:cs="Calibri"/>
          <w:sz w:val="20"/>
          <w:szCs w:val="20"/>
        </w:rPr>
      </w:pPr>
      <w:r>
        <w:rPr>
          <w:rFonts w:cs="Calibri"/>
          <w:sz w:val="20"/>
          <w:szCs w:val="20"/>
        </w:rPr>
        <w:t>wytwórnia (otaczarka) o mieszaniu cyklicznym lub ciągłym, z automatycznym komputerowym sterowaniem produkcji, do wytwarzania mieszanek mineralno-asfaltowych,</w:t>
      </w:r>
    </w:p>
    <w:p>
      <w:pPr>
        <w:pStyle w:val="ListParagraph"/>
        <w:numPr>
          <w:ilvl w:val="0"/>
          <w:numId w:val="1"/>
        </w:numPr>
        <w:spacing w:lineRule="auto" w:line="240" w:before="0" w:after="0"/>
        <w:contextualSpacing/>
        <w:jc w:val="both"/>
        <w:rPr>
          <w:rFonts w:cs="Calibri"/>
          <w:sz w:val="20"/>
          <w:szCs w:val="20"/>
        </w:rPr>
      </w:pPr>
      <w:r>
        <w:rPr>
          <w:rFonts w:cs="Calibri"/>
          <w:sz w:val="20"/>
          <w:szCs w:val="20"/>
        </w:rPr>
        <w:t>układarka gąsienicowa, z elektronicznym sterowaniem równości układanej warstwy,</w:t>
      </w:r>
    </w:p>
    <w:p>
      <w:pPr>
        <w:pStyle w:val="ListParagraph"/>
        <w:numPr>
          <w:ilvl w:val="0"/>
          <w:numId w:val="1"/>
        </w:numPr>
        <w:spacing w:lineRule="auto" w:line="240" w:before="0" w:after="0"/>
        <w:contextualSpacing/>
        <w:jc w:val="both"/>
        <w:rPr>
          <w:rFonts w:cs="Calibri"/>
          <w:sz w:val="20"/>
          <w:szCs w:val="20"/>
        </w:rPr>
      </w:pPr>
      <w:r>
        <w:rPr>
          <w:rFonts w:cs="Calibri"/>
          <w:sz w:val="20"/>
          <w:szCs w:val="20"/>
        </w:rPr>
        <w:t>walce stalowe gładkie,</w:t>
      </w:r>
    </w:p>
    <w:p>
      <w:pPr>
        <w:pStyle w:val="ListParagraph"/>
        <w:numPr>
          <w:ilvl w:val="0"/>
          <w:numId w:val="1"/>
        </w:numPr>
        <w:spacing w:lineRule="auto" w:line="240" w:before="0" w:after="0"/>
        <w:contextualSpacing/>
        <w:jc w:val="both"/>
        <w:rPr>
          <w:rFonts w:cs="Calibri"/>
          <w:sz w:val="20"/>
          <w:szCs w:val="20"/>
        </w:rPr>
      </w:pPr>
      <w:r>
        <w:rPr>
          <w:rFonts w:cs="Calibri"/>
          <w:sz w:val="20"/>
          <w:szCs w:val="20"/>
        </w:rPr>
        <w:t>walce ogumione</w:t>
      </w:r>
    </w:p>
    <w:p>
      <w:pPr>
        <w:pStyle w:val="ListParagraph"/>
        <w:numPr>
          <w:ilvl w:val="0"/>
          <w:numId w:val="1"/>
        </w:numPr>
        <w:spacing w:lineRule="auto" w:line="240" w:before="0" w:after="0"/>
        <w:contextualSpacing/>
        <w:jc w:val="both"/>
        <w:rPr>
          <w:rFonts w:cs="Calibri"/>
          <w:sz w:val="20"/>
          <w:szCs w:val="20"/>
        </w:rPr>
      </w:pPr>
      <w:r>
        <w:rPr>
          <w:rFonts w:cs="Calibri"/>
          <w:sz w:val="20"/>
          <w:szCs w:val="20"/>
        </w:rPr>
        <w:t>szczotki mechaniczne i/lub inne urządzenia czyszczące,</w:t>
      </w:r>
    </w:p>
    <w:p>
      <w:pPr>
        <w:pStyle w:val="ListParagraph"/>
        <w:numPr>
          <w:ilvl w:val="0"/>
          <w:numId w:val="1"/>
        </w:numPr>
        <w:spacing w:lineRule="auto" w:line="240" w:before="0" w:after="0"/>
        <w:contextualSpacing/>
        <w:jc w:val="both"/>
        <w:rPr>
          <w:rFonts w:cs="Calibri"/>
          <w:sz w:val="20"/>
          <w:szCs w:val="20"/>
        </w:rPr>
      </w:pPr>
      <w:r>
        <w:rPr>
          <w:rFonts w:cs="Calibri"/>
          <w:sz w:val="20"/>
          <w:szCs w:val="20"/>
        </w:rPr>
        <w:t>samochody samowyładowcze z przykryciem brezentowym lub termosami,</w:t>
      </w:r>
    </w:p>
    <w:p>
      <w:pPr>
        <w:pStyle w:val="ListParagraph"/>
        <w:numPr>
          <w:ilvl w:val="0"/>
          <w:numId w:val="1"/>
        </w:numPr>
        <w:spacing w:lineRule="auto" w:line="240" w:before="0" w:after="0"/>
        <w:contextualSpacing/>
        <w:jc w:val="both"/>
        <w:rPr>
          <w:rFonts w:cs="Calibri"/>
          <w:sz w:val="20"/>
          <w:szCs w:val="20"/>
        </w:rPr>
      </w:pPr>
      <w:r>
        <w:rPr>
          <w:rFonts w:cs="Calibri"/>
          <w:sz w:val="20"/>
          <w:szCs w:val="20"/>
        </w:rPr>
        <w:t>sprzęt drobny.</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4. TRANSPORT</w:t>
      </w:r>
    </w:p>
    <w:p>
      <w:pPr>
        <w:pStyle w:val="Normal"/>
        <w:spacing w:lineRule="auto" w:line="240" w:before="0" w:after="0"/>
        <w:jc w:val="both"/>
        <w:rPr>
          <w:rFonts w:cs="Calibri"/>
          <w:sz w:val="20"/>
          <w:szCs w:val="20"/>
        </w:rPr>
      </w:pPr>
      <w:r>
        <w:rPr>
          <w:rFonts w:cs="Calibri"/>
          <w:sz w:val="20"/>
          <w:szCs w:val="20"/>
        </w:rPr>
        <w:t>4.1. Ogólne wymagania dotyczące transportu</w:t>
      </w:r>
    </w:p>
    <w:p>
      <w:pPr>
        <w:pStyle w:val="Normal"/>
        <w:spacing w:lineRule="auto" w:line="240" w:before="0" w:after="0"/>
        <w:ind w:left="364"/>
        <w:jc w:val="both"/>
        <w:rPr>
          <w:rFonts w:cs="Calibri"/>
          <w:sz w:val="20"/>
          <w:szCs w:val="20"/>
        </w:rPr>
      </w:pPr>
      <w:r>
        <w:rPr>
          <w:rFonts w:cs="Calibri"/>
          <w:sz w:val="20"/>
          <w:szCs w:val="20"/>
        </w:rPr>
        <w:t>Ogólne wymagania dotyczące transportu podano w STWIORB D-M-00.00.00 „Wymagania ogólne” [1] pkt 4.</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4.2. Transport materiałów</w:t>
      </w:r>
    </w:p>
    <w:p>
      <w:pPr>
        <w:pStyle w:val="Normal"/>
        <w:spacing w:lineRule="auto" w:line="240" w:before="0" w:after="0"/>
        <w:ind w:left="364"/>
        <w:jc w:val="both"/>
        <w:rPr>
          <w:rFonts w:cs="Calibri"/>
          <w:sz w:val="20"/>
          <w:szCs w:val="20"/>
        </w:rPr>
      </w:pPr>
      <w:r>
        <w:rPr>
          <w:rFonts w:cs="Calibri"/>
          <w:sz w:val="20"/>
          <w:szCs w:val="20"/>
        </w:rPr>
        <w:t>Asfalt należy przewozić w cysternach kolejowych lub samochodach izolowanych i zaopatrzonych w urządzenia umożliwiające pośrednie ogrzewanie oraz w zawory spustowe.</w:t>
      </w:r>
    </w:p>
    <w:p>
      <w:pPr>
        <w:pStyle w:val="Normal"/>
        <w:spacing w:lineRule="auto" w:line="240" w:before="0" w:after="0"/>
        <w:ind w:left="364"/>
        <w:jc w:val="both"/>
        <w:rPr>
          <w:rFonts w:cs="Calibri"/>
          <w:sz w:val="20"/>
          <w:szCs w:val="20"/>
        </w:rPr>
      </w:pPr>
      <w:r>
        <w:rPr>
          <w:rFonts w:cs="Calibri"/>
          <w:sz w:val="20"/>
          <w:szCs w:val="20"/>
        </w:rPr>
        <w:t>Kruszywa można przewozić dowolnymi środkami transportu, w warunkach zabezpieczających je przed zanieczyszczeniem, zmieszaniem z innymi materiałami i nadmiernym zawilgoceniem.</w:t>
      </w:r>
    </w:p>
    <w:p>
      <w:pPr>
        <w:pStyle w:val="Normal"/>
        <w:spacing w:lineRule="auto" w:line="240" w:before="0" w:after="0"/>
        <w:ind w:left="364"/>
        <w:jc w:val="both"/>
        <w:rPr>
          <w:rFonts w:cs="Calibri"/>
          <w:sz w:val="20"/>
          <w:szCs w:val="20"/>
        </w:rPr>
      </w:pPr>
      <w:r>
        <w:rPr>
          <w:rFonts w:cs="Calibri"/>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pPr>
        <w:pStyle w:val="Normal"/>
        <w:spacing w:lineRule="auto" w:line="240" w:before="0" w:after="0"/>
        <w:ind w:left="364"/>
        <w:jc w:val="both"/>
        <w:rPr>
          <w:rFonts w:cs="Calibri"/>
          <w:sz w:val="20"/>
          <w:szCs w:val="20"/>
        </w:rPr>
      </w:pPr>
      <w:r>
        <w:rPr>
          <w:rFonts w:cs="Calibri"/>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pPr>
        <w:pStyle w:val="Normal"/>
        <w:spacing w:lineRule="auto" w:line="240" w:before="0" w:after="0"/>
        <w:ind w:left="364"/>
        <w:jc w:val="both"/>
        <w:rPr>
          <w:rFonts w:cs="Calibri"/>
          <w:sz w:val="20"/>
          <w:szCs w:val="20"/>
        </w:rPr>
      </w:pPr>
      <w:r>
        <w:rPr>
          <w:rFonts w:cs="Calibri"/>
          <w:sz w:val="20"/>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w:t>
        <w:br/>
        <w:t>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pPr>
        <w:pStyle w:val="Normal"/>
        <w:spacing w:lineRule="auto" w:line="240" w:before="0" w:after="0"/>
        <w:ind w:left="364"/>
        <w:jc w:val="both"/>
        <w:rPr>
          <w:rFonts w:cs="Calibri"/>
          <w:sz w:val="20"/>
          <w:szCs w:val="20"/>
        </w:rPr>
      </w:pPr>
      <w:r>
        <w:rPr>
          <w:rFonts w:cs="Calibri"/>
          <w:sz w:val="20"/>
          <w:szCs w:val="20"/>
        </w:rPr>
      </w:r>
      <w:r>
        <w:br w:type="page"/>
      </w:r>
    </w:p>
    <w:p>
      <w:pPr>
        <w:pStyle w:val="Normal"/>
        <w:spacing w:before="0" w:after="200"/>
        <w:rPr>
          <w:rFonts w:cs="Calibri"/>
          <w:b/>
          <w:sz w:val="20"/>
          <w:szCs w:val="20"/>
        </w:rPr>
      </w:pPr>
      <w:r>
        <w:rPr>
          <w:rFonts w:cs="Calibri"/>
          <w:b/>
          <w:sz w:val="20"/>
          <w:szCs w:val="20"/>
        </w:rPr>
        <w:t>5. WYKONANIE ROBÓT</w:t>
      </w:r>
    </w:p>
    <w:p>
      <w:pPr>
        <w:pStyle w:val="Normal"/>
        <w:spacing w:lineRule="auto" w:line="240" w:before="0" w:after="0"/>
        <w:jc w:val="both"/>
        <w:rPr>
          <w:rFonts w:cs="Calibri"/>
          <w:sz w:val="20"/>
          <w:szCs w:val="20"/>
        </w:rPr>
      </w:pPr>
      <w:r>
        <w:rPr>
          <w:rFonts w:cs="Calibri"/>
          <w:sz w:val="20"/>
          <w:szCs w:val="20"/>
        </w:rPr>
        <w:t>5.1. Ogólne zasady wykonania robót</w:t>
      </w:r>
    </w:p>
    <w:p>
      <w:pPr>
        <w:pStyle w:val="Normal"/>
        <w:spacing w:lineRule="auto" w:line="240" w:before="0" w:after="0"/>
        <w:ind w:left="364"/>
        <w:jc w:val="both"/>
        <w:rPr>
          <w:rFonts w:cs="Calibri"/>
          <w:sz w:val="20"/>
          <w:szCs w:val="20"/>
        </w:rPr>
      </w:pPr>
      <w:r>
        <w:rPr>
          <w:rFonts w:cs="Calibri"/>
          <w:sz w:val="20"/>
          <w:szCs w:val="20"/>
        </w:rPr>
        <w:t>Ogólne zasady wykonania robót podano w STWIORB D-M-00.00.00 „Wymagania ogólne” [1] pkt 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5.2. Projektowanie mieszanki mineralno-asfaltowej</w:t>
      </w:r>
    </w:p>
    <w:p>
      <w:pPr>
        <w:pStyle w:val="Normal"/>
        <w:spacing w:lineRule="auto" w:line="240" w:before="0" w:after="0"/>
        <w:ind w:left="364"/>
        <w:jc w:val="both"/>
        <w:rPr>
          <w:rFonts w:cs="Calibri"/>
          <w:sz w:val="20"/>
          <w:szCs w:val="20"/>
        </w:rPr>
      </w:pPr>
      <w:r>
        <w:rPr>
          <w:rFonts w:cs="Calibri"/>
          <w:sz w:val="20"/>
          <w:szCs w:val="20"/>
        </w:rPr>
        <w:t xml:space="preserve">Przed przystąpieniem do robót Wykonawca dostarczy Inżynierowi do akceptacji projekt składu mieszanki mineralno-asfaltowej AC 11 S. Uziarnienie mieszanki mineralnej oraz minimalna zawartość lepiszcza podane są </w:t>
        <w:br/>
        <w:t>w tablicach 6 i 7. Jeżeli stosowana jest mieszanka kruszywa drobnego niełamanego i łamanego, to należy przyjąć</w:t>
      </w:r>
    </w:p>
    <w:p>
      <w:pPr>
        <w:pStyle w:val="Normal"/>
        <w:spacing w:lineRule="auto" w:line="240" w:before="0" w:after="0"/>
        <w:ind w:left="364"/>
        <w:jc w:val="both"/>
        <w:rPr>
          <w:rFonts w:cs="Calibri"/>
          <w:sz w:val="20"/>
          <w:szCs w:val="20"/>
        </w:rPr>
      </w:pPr>
      <w:r>
        <w:rPr>
          <w:rFonts w:cs="Calibri"/>
          <w:sz w:val="20"/>
          <w:szCs w:val="20"/>
        </w:rPr>
        <w:t>proporcję kruszywa łamanego do niełamanego co najmniej 50/50.</w:t>
      </w:r>
    </w:p>
    <w:p>
      <w:pPr>
        <w:pStyle w:val="Normal"/>
        <w:spacing w:lineRule="auto" w:line="240" w:before="0" w:after="0"/>
        <w:ind w:left="364"/>
        <w:jc w:val="both"/>
        <w:rPr>
          <w:rFonts w:cs="Calibri"/>
          <w:sz w:val="20"/>
          <w:szCs w:val="20"/>
        </w:rPr>
      </w:pPr>
      <w:r>
        <w:rPr>
          <w:rFonts w:cs="Calibri"/>
          <w:sz w:val="20"/>
          <w:szCs w:val="20"/>
        </w:rPr>
        <w:t>Wymagane właściwości mieszanki mineralno-asfaltowej podane są w tablicach 8, 9 i 10.</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6. Tablica 7. Uziarnienie mieszanki mineralnej oraz zawartość lepiszcza do betonu asfaltowego do warstwy ścieralnej dla ruchu KR3-KR6 [65]</w:t>
      </w:r>
    </w:p>
    <w:p>
      <w:pPr>
        <w:pStyle w:val="Normal"/>
        <w:spacing w:lineRule="auto" w:line="240" w:before="0" w:after="0"/>
        <w:ind w:left="364"/>
        <w:jc w:val="both"/>
        <w:rPr>
          <w:rFonts w:cs="Calibri"/>
          <w:sz w:val="20"/>
          <w:szCs w:val="20"/>
        </w:rPr>
      </w:pPr>
      <w:r>
        <w:rPr>
          <w:rFonts w:cs="Calibri"/>
          <w:sz w:val="20"/>
          <w:szCs w:val="20"/>
        </w:rPr>
      </w:r>
    </w:p>
    <w:tbl>
      <w:tblPr>
        <w:tblW w:w="8079" w:type="dxa"/>
        <w:jc w:val="left"/>
        <w:tblInd w:w="1214" w:type="dxa"/>
        <w:tblLayout w:type="fixed"/>
        <w:tblCellMar>
          <w:top w:w="0" w:type="dxa"/>
          <w:left w:w="108" w:type="dxa"/>
          <w:bottom w:w="0" w:type="dxa"/>
          <w:right w:w="108" w:type="dxa"/>
        </w:tblCellMar>
        <w:tblLook w:val="00a0"/>
      </w:tblPr>
      <w:tblGrid>
        <w:gridCol w:w="3116"/>
        <w:gridCol w:w="2481"/>
        <w:gridCol w:w="2482"/>
      </w:tblGrid>
      <w:tr>
        <w:trPr/>
        <w:tc>
          <w:tcPr>
            <w:tcW w:w="3116" w:type="dxa"/>
            <w:vMerge w:val="restart"/>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t>Właściwość</w:t>
            </w:r>
          </w:p>
        </w:tc>
        <w:tc>
          <w:tcPr>
            <w:tcW w:w="4963" w:type="dxa"/>
            <w:gridSpan w:val="2"/>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ind w:left="34"/>
              <w:jc w:val="center"/>
              <w:rPr>
                <w:rFonts w:cs="Calibri"/>
                <w:b/>
                <w:sz w:val="16"/>
                <w:szCs w:val="16"/>
              </w:rPr>
            </w:pPr>
            <w:r>
              <w:rPr>
                <w:rFonts w:cs="Calibri"/>
                <w:b/>
                <w:sz w:val="16"/>
                <w:szCs w:val="16"/>
              </w:rPr>
              <w:t>Przesiew, [% (m/m)]</w:t>
            </w:r>
          </w:p>
        </w:tc>
      </w:tr>
      <w:tr>
        <w:trPr/>
        <w:tc>
          <w:tcPr>
            <w:tcW w:w="311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r>
          </w:p>
        </w:tc>
        <w:tc>
          <w:tcPr>
            <w:tcW w:w="4963" w:type="dxa"/>
            <w:gridSpan w:val="2"/>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ind w:left="34"/>
              <w:jc w:val="center"/>
              <w:rPr>
                <w:rFonts w:cs="Calibri"/>
                <w:b/>
                <w:sz w:val="16"/>
                <w:szCs w:val="16"/>
              </w:rPr>
            </w:pPr>
            <w:r>
              <w:rPr>
                <w:rFonts w:cs="Calibri"/>
                <w:b/>
                <w:sz w:val="16"/>
                <w:szCs w:val="16"/>
              </w:rPr>
              <w:t>AC8S</w:t>
            </w:r>
          </w:p>
        </w:tc>
      </w:tr>
      <w:tr>
        <w:trPr/>
        <w:tc>
          <w:tcPr>
            <w:tcW w:w="31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t>Wymiar sita #, [mm]</w:t>
            </w:r>
          </w:p>
        </w:tc>
        <w:tc>
          <w:tcPr>
            <w:tcW w:w="248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t>od</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b/>
                <w:sz w:val="16"/>
                <w:szCs w:val="16"/>
              </w:rPr>
            </w:pPr>
            <w:r>
              <w:rPr>
                <w:rFonts w:cs="Calibri"/>
                <w:b/>
                <w:sz w:val="16"/>
                <w:szCs w:val="16"/>
              </w:rPr>
              <w:t>do</w:t>
            </w:r>
          </w:p>
        </w:tc>
      </w:tr>
      <w:tr>
        <w:trPr/>
        <w:tc>
          <w:tcPr>
            <w:tcW w:w="31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11,2</w:t>
            </w:r>
          </w:p>
        </w:tc>
        <w:tc>
          <w:tcPr>
            <w:tcW w:w="248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100</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r>
          </w:p>
        </w:tc>
      </w:tr>
      <w:tr>
        <w:trPr/>
        <w:tc>
          <w:tcPr>
            <w:tcW w:w="31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8</w:t>
            </w:r>
          </w:p>
        </w:tc>
        <w:tc>
          <w:tcPr>
            <w:tcW w:w="248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90</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100</w:t>
            </w:r>
          </w:p>
        </w:tc>
      </w:tr>
      <w:tr>
        <w:trPr/>
        <w:tc>
          <w:tcPr>
            <w:tcW w:w="31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5,6</w:t>
            </w:r>
          </w:p>
        </w:tc>
        <w:tc>
          <w:tcPr>
            <w:tcW w:w="248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70</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90</w:t>
            </w:r>
          </w:p>
        </w:tc>
      </w:tr>
      <w:tr>
        <w:trPr/>
        <w:tc>
          <w:tcPr>
            <w:tcW w:w="31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2,</w:t>
            </w:r>
          </w:p>
        </w:tc>
        <w:tc>
          <w:tcPr>
            <w:tcW w:w="248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45</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65</w:t>
            </w:r>
          </w:p>
        </w:tc>
      </w:tr>
      <w:tr>
        <w:trPr/>
        <w:tc>
          <w:tcPr>
            <w:tcW w:w="31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0,125</w:t>
            </w:r>
          </w:p>
        </w:tc>
        <w:tc>
          <w:tcPr>
            <w:tcW w:w="248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8</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20</w:t>
            </w:r>
          </w:p>
        </w:tc>
      </w:tr>
      <w:tr>
        <w:trPr/>
        <w:tc>
          <w:tcPr>
            <w:tcW w:w="31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0,063</w:t>
            </w:r>
          </w:p>
        </w:tc>
        <w:tc>
          <w:tcPr>
            <w:tcW w:w="2481"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6</w:t>
            </w:r>
          </w:p>
        </w:tc>
        <w:tc>
          <w:tcPr>
            <w:tcW w:w="2482"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12,0</w:t>
            </w:r>
          </w:p>
        </w:tc>
      </w:tr>
      <w:tr>
        <w:trPr/>
        <w:tc>
          <w:tcPr>
            <w:tcW w:w="3116" w:type="dxa"/>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 xml:space="preserve">Zawartość lepiszcza, minimum </w:t>
            </w:r>
            <w:r>
              <w:rPr>
                <w:rFonts w:cs="Calibri"/>
                <w:sz w:val="16"/>
                <w:szCs w:val="16"/>
                <w:vertAlign w:val="superscript"/>
              </w:rPr>
              <w:t>*)</w:t>
            </w:r>
          </w:p>
        </w:tc>
        <w:tc>
          <w:tcPr>
            <w:tcW w:w="4963" w:type="dxa"/>
            <w:gridSpan w:val="2"/>
            <w:tcBorders>
              <w:top w:val="single" w:sz="4" w:space="0" w:color="000000"/>
              <w:left w:val="single" w:sz="4" w:space="0" w:color="000000"/>
              <w:bottom w:val="single" w:sz="4" w:space="0" w:color="000000"/>
              <w:right w:val="single" w:sz="4" w:space="0" w:color="000000"/>
            </w:tcBorders>
            <w:vAlign w:val="center"/>
          </w:tcPr>
          <w:p>
            <w:pPr>
              <w:pStyle w:val="Normal"/>
              <w:spacing w:lineRule="auto" w:line="240" w:before="0" w:after="0"/>
              <w:jc w:val="center"/>
              <w:rPr>
                <w:rFonts w:cs="Calibri"/>
                <w:sz w:val="16"/>
                <w:szCs w:val="16"/>
              </w:rPr>
            </w:pPr>
            <w:r>
              <w:rPr>
                <w:rFonts w:cs="Calibri"/>
                <w:sz w:val="16"/>
                <w:szCs w:val="16"/>
              </w:rPr>
              <w:t>B</w:t>
            </w:r>
            <w:r>
              <w:rPr>
                <w:rFonts w:cs="Calibri"/>
                <w:sz w:val="16"/>
                <w:szCs w:val="16"/>
                <w:vertAlign w:val="subscript"/>
              </w:rPr>
              <w:t>min 5,80</w:t>
            </w:r>
          </w:p>
        </w:tc>
      </w:tr>
    </w:tbl>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8. Wymagane właściwości mieszanki mineralno-asfaltowej do warstwy ścieralnej, dla ruchu KR1÷ KR2 [65]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center"/>
        <w:rPr>
          <w:rFonts w:cs="Calibri"/>
          <w:sz w:val="20"/>
          <w:szCs w:val="20"/>
        </w:rPr>
      </w:pPr>
      <w:r>
        <w:rPr/>
        <w:drawing>
          <wp:inline distT="0" distB="0" distL="0" distR="0">
            <wp:extent cx="5048250" cy="2686050"/>
            <wp:effectExtent l="0" t="0" r="0" b="0"/>
            <wp:docPr id="2" name="Obraz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2" descr=""/>
                    <pic:cNvPicPr>
                      <a:picLocks noChangeAspect="1" noChangeArrowheads="1"/>
                    </pic:cNvPicPr>
                  </pic:nvPicPr>
                  <pic:blipFill>
                    <a:blip r:embed="rId3"/>
                    <a:stretch>
                      <a:fillRect/>
                    </a:stretch>
                  </pic:blipFill>
                  <pic:spPr bwMode="auto">
                    <a:xfrm>
                      <a:off x="0" y="0"/>
                      <a:ext cx="5048250" cy="2686050"/>
                    </a:xfrm>
                    <a:prstGeom prst="rect">
                      <a:avLst/>
                    </a:prstGeom>
                  </pic:spPr>
                </pic:pic>
              </a:graphicData>
            </a:graphic>
          </wp:inline>
        </w:drawing>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5.3. Wytwarzanie mieszanki mineralno-asfaltowej</w:t>
      </w:r>
    </w:p>
    <w:p>
      <w:pPr>
        <w:pStyle w:val="Normal"/>
        <w:spacing w:lineRule="auto" w:line="240" w:before="0" w:after="0"/>
        <w:ind w:left="364"/>
        <w:jc w:val="both"/>
        <w:rPr>
          <w:rFonts w:cs="Calibri"/>
          <w:sz w:val="20"/>
          <w:szCs w:val="20"/>
        </w:rPr>
      </w:pPr>
      <w:r>
        <w:rPr>
          <w:rFonts w:cs="Calibri"/>
          <w:sz w:val="20"/>
          <w:szCs w:val="20"/>
        </w:rPr>
        <w:t>Mieszankę mineralno-asfaltową należy wytwarzać na gorąco w otaczarce (zespole maszyn i urządzeń dozowania, podgrzewania i mieszania składników oraz przechowywania gotowej mieszanki).</w:t>
      </w:r>
    </w:p>
    <w:p>
      <w:pPr>
        <w:pStyle w:val="Normal"/>
        <w:spacing w:lineRule="auto" w:line="240" w:before="0" w:after="0"/>
        <w:ind w:left="364"/>
        <w:jc w:val="both"/>
        <w:rPr>
          <w:rFonts w:cs="Calibri"/>
          <w:sz w:val="20"/>
          <w:szCs w:val="20"/>
        </w:rPr>
      </w:pPr>
      <w:r>
        <w:rPr>
          <w:rFonts w:cs="Calibri"/>
          <w:sz w:val="20"/>
          <w:szCs w:val="20"/>
        </w:rPr>
        <w:t xml:space="preserve">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  </w:t>
      </w:r>
    </w:p>
    <w:p>
      <w:pPr>
        <w:pStyle w:val="Normal"/>
        <w:spacing w:lineRule="auto" w:line="240" w:before="0" w:after="0"/>
        <w:ind w:left="364"/>
        <w:jc w:val="both"/>
        <w:rPr>
          <w:rFonts w:cs="Calibri"/>
          <w:sz w:val="20"/>
          <w:szCs w:val="20"/>
        </w:rPr>
      </w:pPr>
      <w:r>
        <w:rPr>
          <w:rFonts w:cs="Calibri"/>
          <w:sz w:val="20"/>
          <w:szCs w:val="20"/>
        </w:rPr>
        <w:t>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w:t>
        <w:br/>
        <w:t>i 70/100 i polimeroasfaltu drogowego 45/80-55 i 45/80-65.</w:t>
      </w:r>
    </w:p>
    <w:p>
      <w:pPr>
        <w:pStyle w:val="Normal"/>
        <w:spacing w:lineRule="auto" w:line="240" w:before="0" w:after="0"/>
        <w:ind w:left="364"/>
        <w:jc w:val="both"/>
        <w:rPr>
          <w:rFonts w:cs="Calibri"/>
          <w:sz w:val="20"/>
          <w:szCs w:val="20"/>
        </w:rPr>
      </w:pPr>
      <w:r>
        <w:rPr>
          <w:rFonts w:cs="Calibri"/>
          <w:sz w:val="20"/>
          <w:szCs w:val="20"/>
        </w:rPr>
        <w:t>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w:t>
        <w:br/>
        <w:t xml:space="preserve">w tablicy 11. W tej tablicy najniższa temperatura dotyczy mieszanki mineralno-asfaltowej dostarczonej na miejsce wbudowania, a najwyższa temperatura dotyczy mieszanki mineralno-asfaltowej bezpośrednio po wytworzeniu </w:t>
        <w:br/>
        <w:t>w wytwórni.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11. Najwyższa i najniższa temperatura mieszanki AC 8S dla asfaltu 50/70 to 140-180[°C]</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Sposób i czas mieszania składników mieszanki mineralno-asfaltowej powinny zapewnić równomierne otoczenie kruszywa lepiszczem asfaltowym.</w:t>
      </w:r>
    </w:p>
    <w:p>
      <w:pPr>
        <w:pStyle w:val="Normal"/>
        <w:spacing w:lineRule="auto" w:line="240" w:before="0" w:after="0"/>
        <w:ind w:left="364"/>
        <w:jc w:val="both"/>
        <w:rPr>
          <w:rFonts w:cs="Calibri"/>
          <w:sz w:val="20"/>
          <w:szCs w:val="20"/>
        </w:rPr>
      </w:pPr>
      <w:r>
        <w:rPr>
          <w:rFonts w:cs="Calibri"/>
          <w:sz w:val="20"/>
          <w:szCs w:val="20"/>
        </w:rPr>
        <w:t xml:space="preserve">Dopuszcza się dostawy mieszanek mineralno-asfaltowych z kilku wytwórni, pod warunkiem skoordynowania między sobą deklarowanych przydatności mieszanek (m.in.: typ, rodzaj składników, właściwości objętościowe) </w:t>
        <w:br/>
        <w:t>z zachowaniem braku różnic w ich właściwościach.</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5.4. Przygotowanie podłoża</w:t>
      </w:r>
    </w:p>
    <w:p>
      <w:pPr>
        <w:pStyle w:val="Normal"/>
        <w:spacing w:lineRule="auto" w:line="240" w:before="0" w:after="0"/>
        <w:ind w:left="364"/>
        <w:jc w:val="both"/>
        <w:rPr>
          <w:rFonts w:cs="Calibri"/>
          <w:sz w:val="20"/>
          <w:szCs w:val="20"/>
        </w:rPr>
      </w:pPr>
      <w:r>
        <w:rPr>
          <w:rFonts w:cs="Calibri"/>
          <w:sz w:val="20"/>
          <w:szCs w:val="20"/>
        </w:rPr>
        <w:t>Podłoże (warstwa wyrównawcza, warstwa wiążąca lub stara warstwa ścieralna) pod warstwę ścieralną z betonu asfaltowego powinno być na całej powierzchni:</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ustabilizowane i nośne,</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czyste, bez zanieczyszczenia lub pozostałości luźnego kruszywa,</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wyprofilowane, równe i bez kolein,</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suche.</w:t>
      </w:r>
    </w:p>
    <w:p>
      <w:pPr>
        <w:pStyle w:val="Normal"/>
        <w:spacing w:lineRule="auto" w:line="240" w:before="0" w:after="0"/>
        <w:ind w:left="364"/>
        <w:jc w:val="both"/>
        <w:rPr>
          <w:rFonts w:cs="Calibri"/>
          <w:sz w:val="20"/>
          <w:szCs w:val="20"/>
        </w:rPr>
      </w:pPr>
      <w:r>
        <w:rPr>
          <w:rFonts w:cs="Calibri"/>
          <w:sz w:val="20"/>
          <w:szCs w:val="20"/>
        </w:rPr>
        <w:t>W wypadku podłoża z nowo wykonanej warstwy asfaltowej, Do oceny równości podłużnej warstwy wiążącej nawierzchni dróg wszystkich klas technicznych należy stosować metodę równoważną użyciu łaty i klina (planograf), lub z wykorzystaniem 4-metrowej łaty i klina mierząc maksymalną wysokość prześwitu pod łatą. Pomiar wykonuje się nie rzadziej niż co 10 m.</w:t>
      </w:r>
    </w:p>
    <w:p>
      <w:pPr>
        <w:pStyle w:val="Normal"/>
        <w:spacing w:lineRule="auto" w:line="240" w:before="0" w:after="0"/>
        <w:ind w:left="364"/>
        <w:jc w:val="both"/>
        <w:rPr>
          <w:rFonts w:cs="Calibri"/>
          <w:sz w:val="20"/>
          <w:szCs w:val="20"/>
        </w:rPr>
      </w:pPr>
      <w:r>
        <w:rPr>
          <w:rFonts w:cs="Calibri"/>
          <w:sz w:val="20"/>
          <w:szCs w:val="20"/>
        </w:rPr>
        <w:t>Dopuszczalne nierówności warstwy wiążącej &lt; 6mm .</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5.5. Próba technologiczna</w:t>
      </w:r>
    </w:p>
    <w:p>
      <w:pPr>
        <w:pStyle w:val="Normal"/>
        <w:spacing w:lineRule="auto" w:line="240" w:before="0" w:after="0"/>
        <w:ind w:left="364"/>
        <w:jc w:val="both"/>
        <w:rPr>
          <w:rFonts w:cs="Calibri"/>
          <w:sz w:val="20"/>
          <w:szCs w:val="20"/>
        </w:rPr>
      </w:pPr>
      <w:r>
        <w:rPr>
          <w:rFonts w:cs="Calibri"/>
          <w:sz w:val="20"/>
          <w:szCs w:val="20"/>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pPr>
        <w:pStyle w:val="Normal"/>
        <w:spacing w:lineRule="auto" w:line="240" w:before="0" w:after="0"/>
        <w:ind w:left="364"/>
        <w:jc w:val="both"/>
        <w:rPr>
          <w:rFonts w:cs="Calibri"/>
          <w:sz w:val="20"/>
          <w:szCs w:val="20"/>
        </w:rPr>
      </w:pPr>
      <w:r>
        <w:rPr>
          <w:rFonts w:cs="Calibri"/>
          <w:sz w:val="20"/>
          <w:szCs w:val="20"/>
        </w:rPr>
        <w:t>Nie dopuszcza się oceniania dokładności pracy otaczarki oraz prawidłowości składu mieszanki mineralnej na podstawie tzw. suchego zarobu, z uwagi na możliwą segregację kruszywa.</w:t>
      </w:r>
    </w:p>
    <w:p>
      <w:pPr>
        <w:pStyle w:val="Normal"/>
        <w:spacing w:lineRule="auto" w:line="240" w:before="0" w:after="0"/>
        <w:ind w:left="364"/>
        <w:jc w:val="both"/>
        <w:rPr>
          <w:rFonts w:cs="Calibri"/>
          <w:sz w:val="20"/>
          <w:szCs w:val="20"/>
        </w:rPr>
      </w:pPr>
      <w:r>
        <w:rPr>
          <w:rFonts w:cs="Calibri"/>
          <w:sz w:val="20"/>
          <w:szCs w:val="20"/>
        </w:rPr>
        <w:t xml:space="preserve">Mieszankę wyprodukowaną po ustabilizowaniu się pracy otaczarki należy zgromadzić w silosie lub załadować na samochód. Próbki do badań należy pobierać ze skrzyni samochodu zgodnie z metodą określoną </w:t>
        <w:br/>
        <w:t>w PN-EN 12697-27 [39]. Na podstawie uzyskanych wyników Inżynier podejmuje decyzję o wykonaniu odcinka próbnego.</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5.6. Odcinek próbny</w:t>
      </w:r>
    </w:p>
    <w:p>
      <w:pPr>
        <w:pStyle w:val="Normal"/>
        <w:spacing w:lineRule="auto" w:line="240" w:before="0" w:after="0"/>
        <w:ind w:left="364"/>
        <w:jc w:val="both"/>
        <w:rPr>
          <w:rFonts w:cs="Calibri"/>
          <w:sz w:val="20"/>
          <w:szCs w:val="20"/>
        </w:rPr>
      </w:pPr>
      <w:r>
        <w:rPr>
          <w:rFonts w:cs="Calibri"/>
          <w:sz w:val="20"/>
          <w:szCs w:val="20"/>
        </w:rPr>
        <w:t>Przed przystąpieniem do wykonania warstwy ścieralnej z betonu asfaltowego Wykonawca wykona odcinek próbny celem uściślenia organizacji wytwarzania i układania oraz ustalenia warunków zagęszczania.</w:t>
      </w:r>
    </w:p>
    <w:p>
      <w:pPr>
        <w:pStyle w:val="Normal"/>
        <w:spacing w:lineRule="auto" w:line="240" w:before="0" w:after="0"/>
        <w:ind w:left="364"/>
        <w:jc w:val="both"/>
        <w:rPr>
          <w:rFonts w:cs="Calibri"/>
          <w:sz w:val="20"/>
          <w:szCs w:val="20"/>
        </w:rPr>
      </w:pPr>
      <w:r>
        <w:rPr>
          <w:rFonts w:cs="Calibri"/>
          <w:sz w:val="20"/>
          <w:szCs w:val="20"/>
        </w:rPr>
        <w:t>Odcinek próbny powinien być zlokalizowany w miejscu uzgodnionym z Inżynierem. Powierzchnia odcinka próbnego powinna wynosić co najmniej 500 m2, a długość co najmniej 50 m. Na odcinku próbnym Wykonawca powinien użyć takich materiałów oraz sprzętu jakie zamierza stosować do wykonania warstwy ścieralnej.</w:t>
      </w:r>
    </w:p>
    <w:p>
      <w:pPr>
        <w:pStyle w:val="Normal"/>
        <w:spacing w:lineRule="auto" w:line="240" w:before="0" w:after="0"/>
        <w:ind w:left="364"/>
        <w:jc w:val="both"/>
        <w:rPr>
          <w:rFonts w:cs="Calibri"/>
          <w:sz w:val="20"/>
          <w:szCs w:val="20"/>
        </w:rPr>
      </w:pPr>
      <w:r>
        <w:rPr>
          <w:rFonts w:cs="Calibri"/>
          <w:sz w:val="20"/>
          <w:szCs w:val="20"/>
        </w:rPr>
        <w:t xml:space="preserve">Wykonawca może przystąpić do realizacji robót po zaakceptowaniu przez Inżyniera technologii wbudowania </w:t>
        <w:br/>
        <w:t>i zagęszczania oraz wyników z odcinka próbnego.</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5.7. Połączenie międzywarstwowe</w:t>
      </w:r>
    </w:p>
    <w:p>
      <w:pPr>
        <w:pStyle w:val="Normal"/>
        <w:spacing w:lineRule="auto" w:line="240" w:before="0" w:after="0"/>
        <w:ind w:left="364"/>
        <w:jc w:val="both"/>
        <w:rPr>
          <w:rFonts w:cs="Calibri"/>
          <w:sz w:val="20"/>
          <w:szCs w:val="20"/>
        </w:rPr>
      </w:pPr>
      <w:r>
        <w:rPr>
          <w:rFonts w:cs="Calibri"/>
          <w:sz w:val="20"/>
          <w:szCs w:val="20"/>
        </w:rPr>
        <w:t>Uzyskanie wymaganej trwałości nawierzchni jest uzależnione od zapewnienia połączenia między warstwami i ich współpracy w przenoszeniu obciążenia nawierzchni ruchem.</w:t>
      </w:r>
    </w:p>
    <w:p>
      <w:pPr>
        <w:pStyle w:val="Normal"/>
        <w:spacing w:lineRule="auto" w:line="240" w:before="0" w:after="0"/>
        <w:ind w:left="364"/>
        <w:jc w:val="both"/>
        <w:rPr>
          <w:rFonts w:cs="Calibri"/>
          <w:sz w:val="20"/>
          <w:szCs w:val="20"/>
        </w:rPr>
      </w:pPr>
      <w:r>
        <w:rPr>
          <w:rFonts w:cs="Calibri"/>
          <w:sz w:val="20"/>
          <w:szCs w:val="20"/>
        </w:rPr>
        <w:t>Podłoże powinno być skropione lepiszczem. Ma to na celu zwiększenie połączenia między warstwami konstrukcyjnymi oraz zabezpieczenie przed wnikaniem i zaleganiem wody między warstwami.</w:t>
      </w:r>
    </w:p>
    <w:p>
      <w:pPr>
        <w:pStyle w:val="Normal"/>
        <w:spacing w:lineRule="auto" w:line="240" w:before="0" w:after="0"/>
        <w:ind w:left="364"/>
        <w:jc w:val="both"/>
        <w:rPr>
          <w:rFonts w:cs="Calibri"/>
          <w:sz w:val="20"/>
          <w:szCs w:val="20"/>
        </w:rPr>
      </w:pPr>
      <w:r>
        <w:rPr>
          <w:rFonts w:cs="Calibri"/>
          <w:sz w:val="20"/>
          <w:szCs w:val="20"/>
        </w:rPr>
        <w:t>Skropienie lepiszczem podłoża (np. z warstwy wiążącej asfaltowej), przed ułożeniem warstwy ścieralnej z betonu asfaltowego powinno być wykonane w ilości podanej w przeliczeniu na pozostałe lepiszcze, tj. 0,1 ÷ 0,3 kg/m2, przy czym:</w:t>
      </w:r>
    </w:p>
    <w:p>
      <w:pPr>
        <w:pStyle w:val="ListParagraph"/>
        <w:numPr>
          <w:ilvl w:val="0"/>
          <w:numId w:val="2"/>
        </w:numPr>
        <w:spacing w:lineRule="auto" w:line="240" w:before="0" w:after="0"/>
        <w:contextualSpacing/>
        <w:jc w:val="both"/>
        <w:rPr>
          <w:rFonts w:cs="Calibri"/>
          <w:sz w:val="20"/>
          <w:szCs w:val="20"/>
        </w:rPr>
      </w:pPr>
      <w:r>
        <w:rPr>
          <w:rFonts w:cs="Calibri"/>
          <w:sz w:val="20"/>
          <w:szCs w:val="20"/>
        </w:rPr>
        <w:t>zaleca się stosować emulsję modyfikowaną polimerem,</w:t>
      </w:r>
    </w:p>
    <w:p>
      <w:pPr>
        <w:pStyle w:val="ListParagraph"/>
        <w:numPr>
          <w:ilvl w:val="0"/>
          <w:numId w:val="2"/>
        </w:numPr>
        <w:spacing w:lineRule="auto" w:line="240" w:before="0" w:after="0"/>
        <w:contextualSpacing/>
        <w:jc w:val="both"/>
        <w:rPr>
          <w:rFonts w:cs="Calibri"/>
          <w:sz w:val="20"/>
          <w:szCs w:val="20"/>
        </w:rPr>
      </w:pPr>
      <w:r>
        <w:rPr>
          <w:rFonts w:cs="Calibri"/>
          <w:sz w:val="20"/>
          <w:szCs w:val="20"/>
        </w:rPr>
        <w:t xml:space="preserve">ilość emulsji należy dobrać z uwzględnieniem stanu podłoża oraz porowatości mieszanki; jeśli mieszanka ma większą zawartość wolnych przestrzeni, to należy użyć większą ilość lepiszcza do skropienia, które po ułożeniu warstwy ścieralnej uszczelni ją. </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pPr>
        <w:pStyle w:val="Normal"/>
        <w:spacing w:lineRule="auto" w:line="240" w:before="0" w:after="0"/>
        <w:ind w:left="364"/>
        <w:jc w:val="both"/>
        <w:rPr>
          <w:rFonts w:cs="Calibri"/>
          <w:sz w:val="20"/>
          <w:szCs w:val="20"/>
        </w:rPr>
      </w:pPr>
      <w:r>
        <w:rPr>
          <w:rFonts w:cs="Calibri"/>
          <w:sz w:val="20"/>
          <w:szCs w:val="20"/>
        </w:rPr>
        <w:t>W wypadku stosowania emulsji asfaltowej podłoże powinno być skropione 0,5 h przed układaniem warstwy asfaltowej w celu odparowania wody.</w:t>
      </w:r>
    </w:p>
    <w:p>
      <w:pPr>
        <w:pStyle w:val="Normal"/>
        <w:spacing w:lineRule="auto" w:line="240" w:before="0" w:after="0"/>
        <w:ind w:left="364"/>
        <w:jc w:val="both"/>
        <w:rPr>
          <w:rFonts w:cs="Calibri"/>
          <w:sz w:val="20"/>
          <w:szCs w:val="20"/>
        </w:rPr>
      </w:pPr>
      <w:r>
        <w:rPr>
          <w:rFonts w:cs="Calibri"/>
          <w:sz w:val="20"/>
          <w:szCs w:val="20"/>
        </w:rPr>
        <w:t>Czas ten nie dotyczy skrapiania rampą zamontowaną na rozkładarce.</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5.8. Wbudowanie mieszanki mineralno-asfaltowej</w:t>
      </w:r>
    </w:p>
    <w:p>
      <w:pPr>
        <w:pStyle w:val="Normal"/>
        <w:spacing w:lineRule="auto" w:line="240" w:before="0" w:after="0"/>
        <w:ind w:left="364"/>
        <w:jc w:val="both"/>
        <w:rPr>
          <w:rFonts w:cs="Calibri"/>
          <w:sz w:val="20"/>
          <w:szCs w:val="20"/>
        </w:rPr>
      </w:pPr>
      <w:r>
        <w:rPr>
          <w:rFonts w:cs="Calibri"/>
          <w:sz w:val="20"/>
          <w:szCs w:val="20"/>
        </w:rPr>
        <w:t xml:space="preserve">Mieszankę mineralno-asfaltową można wbudowywać na podłożu przygotowanym zgodnie z zapisami </w:t>
        <w:br/>
        <w:t>w punktach 5.4 i 5.7. Temperatura podłoża pod rozkładaną warstwę nie może być niższa niż +5°C.</w:t>
      </w:r>
    </w:p>
    <w:p>
      <w:pPr>
        <w:pStyle w:val="Normal"/>
        <w:spacing w:lineRule="auto" w:line="240" w:before="0" w:after="0"/>
        <w:ind w:left="364"/>
        <w:jc w:val="both"/>
        <w:rPr>
          <w:rFonts w:cs="Calibri"/>
          <w:sz w:val="20"/>
          <w:szCs w:val="20"/>
        </w:rPr>
      </w:pPr>
      <w:r>
        <w:rPr>
          <w:rFonts w:cs="Calibri"/>
          <w:sz w:val="20"/>
          <w:szCs w:val="20"/>
        </w:rPr>
        <w:t>Transport mieszanki mineralno-asfaltowej asfaltowej powinien być zgodny z zaleceniami podanymi w punkcie 4.2.</w:t>
      </w:r>
    </w:p>
    <w:p>
      <w:pPr>
        <w:pStyle w:val="Normal"/>
        <w:spacing w:lineRule="auto" w:line="240" w:before="0" w:after="0"/>
        <w:ind w:left="364"/>
        <w:jc w:val="both"/>
        <w:rPr>
          <w:rFonts w:cs="Calibri"/>
          <w:sz w:val="20"/>
          <w:szCs w:val="20"/>
        </w:rPr>
      </w:pPr>
      <w:r>
        <w:rPr>
          <w:rFonts w:cs="Calibri"/>
          <w:sz w:val="20"/>
          <w:szCs w:val="20"/>
        </w:rPr>
        <w:t>Mieszankę mineralno-asfaltową asfaltową należy wbudowywać w odpowiednich warunkach atmosferycznych.</w:t>
      </w:r>
    </w:p>
    <w:p>
      <w:pPr>
        <w:pStyle w:val="Normal"/>
        <w:spacing w:lineRule="auto" w:line="240" w:before="0" w:after="0"/>
        <w:ind w:left="364"/>
        <w:jc w:val="both"/>
        <w:rPr>
          <w:rFonts w:cs="Calibri"/>
          <w:sz w:val="20"/>
          <w:szCs w:val="20"/>
        </w:rPr>
      </w:pPr>
      <w:r>
        <w:rPr>
          <w:rFonts w:cs="Calibri"/>
          <w:sz w:val="20"/>
          <w:szCs w:val="20"/>
        </w:rPr>
        <w:t>Temperatura otoczenia w ciągu doby nie powinna być niższa od temperatury podanej w tablicy 13.</w:t>
      </w:r>
    </w:p>
    <w:p>
      <w:pPr>
        <w:pStyle w:val="Normal"/>
        <w:spacing w:lineRule="auto" w:line="240" w:before="0" w:after="0"/>
        <w:ind w:left="364"/>
        <w:jc w:val="both"/>
        <w:rPr>
          <w:rFonts w:cs="Calibri"/>
          <w:sz w:val="20"/>
          <w:szCs w:val="20"/>
        </w:rPr>
      </w:pPr>
      <w:r>
        <w:rPr>
          <w:rFonts w:cs="Calibri"/>
          <w:sz w:val="20"/>
          <w:szCs w:val="20"/>
        </w:rPr>
        <w:t>Temperatura otoczenia może być niższa w wypadku stosowania ogrzewania podłoża. Nie dopuszcza się układania mieszanki mineralno-asfaltowej asfaltowej podczas silnego wiatru (V &gt; 16 m/s). W wypadku stosowania mieszanek mineralno-asfaltowych z dodatkiem obniżającym temperaturę mieszania i wbudowania należy indywidualnie określić wymagane warunki otoczenia.</w:t>
      </w:r>
    </w:p>
    <w:p>
      <w:pPr>
        <w:pStyle w:val="Normal"/>
        <w:spacing w:lineRule="auto" w:line="240" w:before="0" w:after="0"/>
        <w:ind w:left="364"/>
        <w:jc w:val="both"/>
        <w:rPr>
          <w:rFonts w:cs="Calibri"/>
          <w:sz w:val="20"/>
          <w:szCs w:val="20"/>
        </w:rPr>
      </w:pPr>
      <w:r>
        <w:rPr>
          <w:rFonts w:cs="Calibri"/>
          <w:sz w:val="20"/>
          <w:szCs w:val="20"/>
        </w:rPr>
        <w:t>Tablica 13. Minimalna temperatura otoczenia na wysokości 2m podczas wykonywania warstw asfaltowych to</w:t>
      </w:r>
    </w:p>
    <w:p>
      <w:pPr>
        <w:pStyle w:val="Normal"/>
        <w:spacing w:lineRule="auto" w:line="240" w:before="0" w:after="0"/>
        <w:ind w:left="364"/>
        <w:jc w:val="both"/>
        <w:rPr>
          <w:rFonts w:cs="Calibri"/>
          <w:sz w:val="20"/>
          <w:szCs w:val="20"/>
        </w:rPr>
      </w:pPr>
      <w:r>
        <w:rPr>
          <w:rFonts w:cs="Calibri"/>
          <w:sz w:val="20"/>
          <w:szCs w:val="20"/>
        </w:rPr>
        <w:t>przed przystąpieniem do robót – 0; w czasie robót +5</w:t>
      </w:r>
    </w:p>
    <w:p>
      <w:pPr>
        <w:pStyle w:val="Normal"/>
        <w:spacing w:lineRule="auto" w:line="240" w:before="0" w:after="0"/>
        <w:ind w:left="364"/>
        <w:jc w:val="both"/>
        <w:rPr>
          <w:rFonts w:cs="Calibri"/>
          <w:sz w:val="20"/>
          <w:szCs w:val="20"/>
        </w:rPr>
      </w:pPr>
      <w:r>
        <w:rPr>
          <w:rFonts w:cs="Calibri"/>
          <w:sz w:val="20"/>
          <w:szCs w:val="20"/>
        </w:rPr>
        <w:t>Właściwości wykonanej warstwy powinny spełniać warunki podane w tablicy 14.</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14. Właściwości warstwy AC 8S</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Projektowana grubość warstwy technologicznej [cm] 4cm</w:t>
      </w:r>
    </w:p>
    <w:p>
      <w:pPr>
        <w:pStyle w:val="Normal"/>
        <w:spacing w:lineRule="auto" w:line="240" w:before="0" w:after="0"/>
        <w:ind w:left="364"/>
        <w:jc w:val="both"/>
        <w:rPr>
          <w:rFonts w:cs="Calibri"/>
          <w:sz w:val="20"/>
          <w:szCs w:val="20"/>
        </w:rPr>
      </w:pPr>
      <w:r>
        <w:rPr>
          <w:rFonts w:cs="Calibri"/>
          <w:sz w:val="20"/>
          <w:szCs w:val="20"/>
        </w:rPr>
        <w:t>Wskaźnik zagęszczenia ≥ 98[%]</w:t>
      </w:r>
    </w:p>
    <w:p>
      <w:pPr>
        <w:pStyle w:val="Normal"/>
        <w:spacing w:lineRule="auto" w:line="240" w:before="0" w:after="0"/>
        <w:ind w:left="364"/>
        <w:jc w:val="both"/>
        <w:rPr>
          <w:rFonts w:cs="Calibri"/>
          <w:sz w:val="20"/>
          <w:szCs w:val="20"/>
        </w:rPr>
      </w:pPr>
      <w:r>
        <w:rPr>
          <w:rFonts w:cs="Calibri"/>
          <w:sz w:val="20"/>
          <w:szCs w:val="20"/>
        </w:rPr>
        <w:t>Zawartość wolnych przestrzeni w warstwie 3,0÷5,0[%(v/v)]</w:t>
      </w:r>
    </w:p>
    <w:p>
      <w:pPr>
        <w:pStyle w:val="Normal"/>
        <w:spacing w:lineRule="auto" w:line="240" w:before="0" w:after="0"/>
        <w:ind w:left="364"/>
        <w:jc w:val="both"/>
        <w:rPr>
          <w:rFonts w:cs="Calibri"/>
          <w:sz w:val="20"/>
          <w:szCs w:val="20"/>
        </w:rPr>
      </w:pPr>
      <w:r>
        <w:rPr>
          <w:rFonts w:cs="Calibri"/>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w:t>
      </w:r>
    </w:p>
    <w:p>
      <w:pPr>
        <w:pStyle w:val="Normal"/>
        <w:spacing w:lineRule="auto" w:line="240" w:before="0" w:after="0"/>
        <w:ind w:left="364"/>
        <w:jc w:val="both"/>
        <w:rPr>
          <w:rFonts w:cs="Calibri"/>
          <w:sz w:val="20"/>
          <w:szCs w:val="20"/>
        </w:rPr>
      </w:pPr>
      <w:r>
        <w:rPr>
          <w:rFonts w:cs="Calibri"/>
          <w:sz w:val="20"/>
          <w:szCs w:val="20"/>
        </w:rPr>
        <w:t>Warstwy wałowane powinny być równomiernie zagęszczone ciężkimi walcami drogowymi. Do warstw z betonu asfaltowego należy stosować walce drogowe stalowe gładkie z możliwością wibracji, oscylacji lub walce ogumione.</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6. KONTROLA JAKOŚCI ROBÓT</w:t>
      </w:r>
    </w:p>
    <w:p>
      <w:pPr>
        <w:pStyle w:val="Normal"/>
        <w:spacing w:lineRule="auto" w:line="240" w:before="0" w:after="0"/>
        <w:jc w:val="both"/>
        <w:rPr>
          <w:rFonts w:cs="Calibri"/>
          <w:sz w:val="20"/>
          <w:szCs w:val="20"/>
        </w:rPr>
      </w:pPr>
      <w:r>
        <w:rPr>
          <w:rFonts w:cs="Calibri"/>
          <w:sz w:val="20"/>
          <w:szCs w:val="20"/>
        </w:rPr>
        <w:t>6.1. Ogólne zasady kontroli jakości robót</w:t>
      </w:r>
    </w:p>
    <w:p>
      <w:pPr>
        <w:pStyle w:val="Normal"/>
        <w:spacing w:lineRule="auto" w:line="240" w:before="0" w:after="0"/>
        <w:ind w:left="364"/>
        <w:jc w:val="both"/>
        <w:rPr>
          <w:rFonts w:cs="Calibri"/>
          <w:sz w:val="20"/>
          <w:szCs w:val="20"/>
        </w:rPr>
      </w:pPr>
      <w:r>
        <w:rPr>
          <w:rFonts w:cs="Calibri"/>
          <w:sz w:val="20"/>
          <w:szCs w:val="20"/>
        </w:rPr>
        <w:t>Ogólne zasady kontroli jakości robót podano w STWIORB D-M-00.00.00 „Wymagania ogólne” [1] pkt 6.</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6.2. Badania przed przystąpieniem do robót</w:t>
      </w:r>
    </w:p>
    <w:p>
      <w:pPr>
        <w:pStyle w:val="Normal"/>
        <w:spacing w:lineRule="auto" w:line="240" w:before="0" w:after="0"/>
        <w:ind w:left="364"/>
        <w:jc w:val="both"/>
        <w:rPr>
          <w:rFonts w:cs="Calibri"/>
          <w:sz w:val="20"/>
          <w:szCs w:val="20"/>
        </w:rPr>
      </w:pPr>
      <w:r>
        <w:rPr>
          <w:rFonts w:cs="Calibri"/>
          <w:sz w:val="20"/>
          <w:szCs w:val="20"/>
        </w:rPr>
        <w:t>Przed przystąpieniem do robót Wykonawca powinien:</w:t>
      </w:r>
    </w:p>
    <w:p>
      <w:pPr>
        <w:pStyle w:val="ListParagraph"/>
        <w:numPr>
          <w:ilvl w:val="0"/>
          <w:numId w:val="3"/>
        </w:numPr>
        <w:spacing w:lineRule="auto" w:line="240" w:before="0" w:after="0"/>
        <w:contextualSpacing/>
        <w:jc w:val="both"/>
        <w:rPr>
          <w:rFonts w:cs="Calibri"/>
          <w:sz w:val="20"/>
          <w:szCs w:val="20"/>
        </w:rPr>
      </w:pPr>
      <w:r>
        <w:rPr>
          <w:rFonts w:cs="Calibri"/>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pPr>
        <w:pStyle w:val="ListParagraph"/>
        <w:numPr>
          <w:ilvl w:val="0"/>
          <w:numId w:val="3"/>
        </w:numPr>
        <w:spacing w:lineRule="auto" w:line="240" w:before="0" w:after="0"/>
        <w:contextualSpacing/>
        <w:jc w:val="both"/>
        <w:rPr>
          <w:rFonts w:cs="Calibri"/>
          <w:sz w:val="20"/>
          <w:szCs w:val="20"/>
        </w:rPr>
      </w:pPr>
      <w:r>
        <w:rPr>
          <w:rFonts w:cs="Calibri"/>
          <w:sz w:val="20"/>
          <w:szCs w:val="20"/>
        </w:rPr>
        <w:t>ew. wykonać własne badania właściwości materiałów przeznaczonych do wykonania robót, określone przez Inżyniera.</w:t>
      </w:r>
    </w:p>
    <w:p>
      <w:pPr>
        <w:pStyle w:val="Normal"/>
        <w:spacing w:lineRule="auto" w:line="240" w:before="0" w:after="0"/>
        <w:ind w:left="364"/>
        <w:jc w:val="both"/>
        <w:rPr>
          <w:rFonts w:cs="Calibri"/>
          <w:sz w:val="20"/>
          <w:szCs w:val="20"/>
        </w:rPr>
      </w:pPr>
      <w:r>
        <w:rPr>
          <w:rFonts w:cs="Calibri"/>
          <w:sz w:val="20"/>
          <w:szCs w:val="20"/>
        </w:rPr>
        <w:t>Wszystkie dokumenty oraz wyniki badań Wykonawca przedstawia Inżynierowi do akceptacji.</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6.3. Badania w czasie robót</w:t>
      </w:r>
    </w:p>
    <w:p>
      <w:pPr>
        <w:pStyle w:val="Normal"/>
        <w:spacing w:lineRule="auto" w:line="240" w:before="0" w:after="0"/>
        <w:ind w:firstLine="364"/>
        <w:jc w:val="both"/>
        <w:rPr>
          <w:rFonts w:cs="Calibri"/>
          <w:sz w:val="20"/>
          <w:szCs w:val="20"/>
        </w:rPr>
      </w:pPr>
      <w:r>
        <w:rPr>
          <w:rFonts w:cs="Calibri"/>
          <w:sz w:val="20"/>
          <w:szCs w:val="20"/>
        </w:rPr>
        <w:t>6.3.1. Uwagi ogólne</w:t>
      </w:r>
    </w:p>
    <w:p>
      <w:pPr>
        <w:pStyle w:val="Normal"/>
        <w:spacing w:lineRule="auto" w:line="240" w:before="0" w:after="0"/>
        <w:ind w:left="851"/>
        <w:jc w:val="both"/>
        <w:rPr>
          <w:rFonts w:cs="Calibri"/>
          <w:sz w:val="20"/>
          <w:szCs w:val="20"/>
        </w:rPr>
      </w:pPr>
      <w:r>
        <w:rPr>
          <w:rFonts w:cs="Calibri"/>
          <w:sz w:val="20"/>
          <w:szCs w:val="20"/>
        </w:rPr>
        <w:t>Badania dzielą się na:</w:t>
      </w:r>
    </w:p>
    <w:p>
      <w:pPr>
        <w:pStyle w:val="ListParagraph"/>
        <w:numPr>
          <w:ilvl w:val="0"/>
          <w:numId w:val="4"/>
        </w:numPr>
        <w:spacing w:lineRule="auto" w:line="240" w:before="0" w:after="0"/>
        <w:ind w:hanging="252" w:left="1106"/>
        <w:contextualSpacing/>
        <w:jc w:val="both"/>
        <w:rPr>
          <w:rFonts w:cs="Calibri"/>
          <w:sz w:val="20"/>
          <w:szCs w:val="20"/>
        </w:rPr>
      </w:pPr>
      <w:r>
        <w:rPr>
          <w:rFonts w:cs="Calibri"/>
          <w:sz w:val="20"/>
          <w:szCs w:val="20"/>
        </w:rPr>
        <w:t>badania wykonawcy (w ramach własnego nadzoru),</w:t>
      </w:r>
    </w:p>
    <w:p>
      <w:pPr>
        <w:pStyle w:val="ListParagraph"/>
        <w:numPr>
          <w:ilvl w:val="0"/>
          <w:numId w:val="4"/>
        </w:numPr>
        <w:spacing w:lineRule="auto" w:line="240" w:before="0" w:after="0"/>
        <w:ind w:hanging="252" w:left="1106"/>
        <w:contextualSpacing/>
        <w:jc w:val="both"/>
        <w:rPr>
          <w:rFonts w:cs="Calibri"/>
          <w:sz w:val="20"/>
          <w:szCs w:val="20"/>
        </w:rPr>
      </w:pPr>
      <w:r>
        <w:rPr>
          <w:rFonts w:cs="Calibri"/>
          <w:sz w:val="20"/>
          <w:szCs w:val="20"/>
        </w:rPr>
        <w:t>badania kontrolne (w ramach nadzoru zleceniodawcy – Inżyniera).</w:t>
      </w:r>
    </w:p>
    <w:p>
      <w:pPr>
        <w:pStyle w:val="Normal"/>
        <w:spacing w:lineRule="auto" w:line="240" w:before="0" w:after="0"/>
        <w:jc w:val="both"/>
        <w:rPr>
          <w:rFonts w:cs="Calibri"/>
          <w:sz w:val="20"/>
          <w:szCs w:val="20"/>
        </w:rPr>
      </w:pPr>
      <w:r>
        <w:rPr>
          <w:rFonts w:cs="Calibri"/>
          <w:sz w:val="20"/>
          <w:szCs w:val="20"/>
        </w:rPr>
        <w:t>6.3.2. Badania Wykonawcy</w:t>
      </w:r>
    </w:p>
    <w:p>
      <w:pPr>
        <w:pStyle w:val="Normal"/>
        <w:spacing w:lineRule="auto" w:line="240" w:before="0" w:after="0"/>
        <w:ind w:left="364"/>
        <w:jc w:val="both"/>
        <w:rPr>
          <w:rFonts w:cs="Calibri"/>
          <w:sz w:val="20"/>
          <w:szCs w:val="20"/>
        </w:rPr>
      </w:pPr>
      <w:r>
        <w:rPr>
          <w:rFonts w:cs="Calibri"/>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pPr>
        <w:pStyle w:val="Normal"/>
        <w:spacing w:lineRule="auto" w:line="240" w:before="0" w:after="0"/>
        <w:ind w:left="364"/>
        <w:jc w:val="both"/>
        <w:rPr>
          <w:rFonts w:cs="Calibri"/>
          <w:sz w:val="20"/>
          <w:szCs w:val="20"/>
        </w:rPr>
      </w:pPr>
      <w:r>
        <w:rPr>
          <w:rFonts w:cs="Calibri"/>
          <w:sz w:val="20"/>
          <w:szCs w:val="20"/>
        </w:rPr>
        <w:t xml:space="preserve">Wykonawca powinien wykonywać te badania podczas realizacji kontraktu, z niezbędną starannością </w:t>
        <w:br/>
        <w:t>i w wymaganym zakresie. Wyniki należy zapisywać w protokołach. W razie stwierdzenia uchybień w stosunku do</w:t>
      </w:r>
    </w:p>
    <w:p>
      <w:pPr>
        <w:pStyle w:val="Normal"/>
        <w:spacing w:lineRule="auto" w:line="240" w:before="0" w:after="0"/>
        <w:ind w:left="364"/>
        <w:jc w:val="both"/>
        <w:rPr>
          <w:rFonts w:cs="Calibri"/>
          <w:sz w:val="20"/>
          <w:szCs w:val="20"/>
        </w:rPr>
      </w:pPr>
      <w:r>
        <w:rPr>
          <w:rFonts w:cs="Calibri"/>
          <w:sz w:val="20"/>
          <w:szCs w:val="20"/>
        </w:rPr>
        <w:t>wymagań kontraktu, ich przyczyny należy niezwłocznie usunąć.</w:t>
      </w:r>
    </w:p>
    <w:p>
      <w:pPr>
        <w:pStyle w:val="Normal"/>
        <w:spacing w:lineRule="auto" w:line="240" w:before="0" w:after="0"/>
        <w:ind w:left="364"/>
        <w:jc w:val="both"/>
        <w:rPr>
          <w:rFonts w:cs="Calibri"/>
          <w:sz w:val="20"/>
          <w:szCs w:val="20"/>
        </w:rPr>
      </w:pPr>
      <w:r>
        <w:rPr>
          <w:rFonts w:cs="Calibri"/>
          <w:sz w:val="20"/>
          <w:szCs w:val="20"/>
        </w:rPr>
        <w:t xml:space="preserve">Wyniki badań Wykonawcy należy przekazywać zleceniodawcy na jego żądanie. Inżynier może zdecydować </w:t>
        <w:br/>
        <w:t>o dokonaniu odbioru na podstawie badań Wykonawcy. W razie zastrzeżeń Inżynier może przeprowadzić badania kontrolne według pktu 6.3.3.</w:t>
      </w:r>
    </w:p>
    <w:p>
      <w:pPr>
        <w:pStyle w:val="Normal"/>
        <w:spacing w:lineRule="auto" w:line="240" w:before="0" w:after="0"/>
        <w:ind w:left="364"/>
        <w:jc w:val="both"/>
        <w:rPr>
          <w:rFonts w:cs="Calibri"/>
          <w:sz w:val="20"/>
          <w:szCs w:val="20"/>
        </w:rPr>
      </w:pPr>
      <w:r>
        <w:rPr>
          <w:rFonts w:cs="Calibri"/>
          <w:sz w:val="20"/>
          <w:szCs w:val="20"/>
        </w:rPr>
        <w:t>Zakres badań Wykonawcy związany z wykonywaniem nawierzchni:</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pomiar temperatury powietrza,</w:t>
      </w:r>
    </w:p>
    <w:p>
      <w:pPr>
        <w:pStyle w:val="Normal"/>
        <w:spacing w:lineRule="auto" w:line="240" w:before="0" w:after="0"/>
        <w:ind w:left="364"/>
        <w:jc w:val="both"/>
        <w:rPr>
          <w:rFonts w:cs="Calibri"/>
          <w:sz w:val="16"/>
          <w:szCs w:val="20"/>
        </w:rPr>
      </w:pPr>
      <w:r>
        <w:rPr>
          <w:rFonts w:cs="Calibri"/>
          <w:sz w:val="20"/>
          <w:szCs w:val="20"/>
        </w:rPr>
        <w:t xml:space="preserve">– </w:t>
      </w:r>
      <w:r>
        <w:rPr>
          <w:rFonts w:cs="Calibri"/>
          <w:sz w:val="20"/>
          <w:szCs w:val="20"/>
        </w:rPr>
        <w:t xml:space="preserve">pomiar temperatury mieszanki mineralno-asfaltowej podczas wykonywania nawierzchni </w:t>
      </w:r>
      <w:r>
        <w:rPr>
          <w:rFonts w:cs="Calibri"/>
          <w:sz w:val="16"/>
          <w:szCs w:val="20"/>
        </w:rPr>
        <w:t>(wg PN-EN 12697-13 [36]),</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ocena wizualna mieszanki mineralno-asfaltowej,</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wykaz ilości materiałów lub grubości wykonanej warstwy,</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pomiar spadku poprzecznego warstwy asfaltowej,</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pomiar równości warstwy asfaltowej (wg pktu 6.4.2.5),</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pomiar parametrów geometrycznych poboczy,</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ocena wizualna jednorodności powierzchni warstwy,</w:t>
      </w:r>
    </w:p>
    <w:p>
      <w:pPr>
        <w:pStyle w:val="Normal"/>
        <w:spacing w:lineRule="auto" w:line="240" w:before="0" w:after="0"/>
        <w:ind w:left="364"/>
        <w:jc w:val="both"/>
        <w:rPr>
          <w:rFonts w:cs="Calibri"/>
          <w:sz w:val="20"/>
          <w:szCs w:val="20"/>
        </w:rPr>
      </w:pPr>
      <w:r>
        <w:rPr>
          <w:rFonts w:cs="Calibri"/>
          <w:sz w:val="20"/>
          <w:szCs w:val="20"/>
        </w:rPr>
        <w:t xml:space="preserve">– </w:t>
      </w:r>
      <w:r>
        <w:rPr>
          <w:rFonts w:cs="Calibri"/>
          <w:sz w:val="20"/>
          <w:szCs w:val="20"/>
        </w:rPr>
        <w:t>ocena wizualna jakości wykonania połączeń technologicznych.</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6.3.3. Badania kontrolne</w:t>
      </w:r>
    </w:p>
    <w:p>
      <w:pPr>
        <w:pStyle w:val="Normal"/>
        <w:spacing w:lineRule="auto" w:line="240" w:before="0" w:after="0"/>
        <w:ind w:left="364"/>
        <w:jc w:val="both"/>
        <w:rPr>
          <w:rFonts w:cs="Calibri"/>
          <w:sz w:val="20"/>
          <w:szCs w:val="20"/>
        </w:rPr>
      </w:pPr>
      <w:r>
        <w:rPr>
          <w:rFonts w:cs="Calibri"/>
          <w:sz w:val="20"/>
          <w:szCs w:val="20"/>
        </w:rPr>
        <w:t xml:space="preserve">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t>
      </w:r>
    </w:p>
    <w:p>
      <w:pPr>
        <w:pStyle w:val="Normal"/>
        <w:spacing w:lineRule="auto" w:line="240" w:before="0" w:after="0"/>
        <w:ind w:left="364"/>
        <w:jc w:val="both"/>
        <w:rPr>
          <w:rFonts w:cs="Calibri"/>
          <w:sz w:val="20"/>
          <w:szCs w:val="20"/>
        </w:rPr>
      </w:pPr>
      <w:r>
        <w:rPr>
          <w:rFonts w:cs="Calibri"/>
          <w:sz w:val="20"/>
          <w:szCs w:val="20"/>
        </w:rPr>
        <w:t>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pPr>
        <w:pStyle w:val="Normal"/>
        <w:spacing w:lineRule="auto" w:line="240" w:before="0" w:after="0"/>
        <w:ind w:left="364"/>
        <w:jc w:val="both"/>
        <w:rPr>
          <w:rFonts w:cs="Calibri"/>
          <w:sz w:val="20"/>
          <w:szCs w:val="20"/>
        </w:rPr>
      </w:pPr>
      <w:r>
        <w:rPr>
          <w:rFonts w:cs="Calibri"/>
          <w:sz w:val="20"/>
          <w:szCs w:val="20"/>
        </w:rPr>
        <w:t>Rodzaj badań kontrolnych mieszanki mineralno-asfaltowej i wykonanej z niej warstwy podano w tablicy 15.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6"/>
          <w:szCs w:val="20"/>
        </w:rPr>
        <w:t>T</w:t>
      </w:r>
      <w:r>
        <w:rPr>
          <w:rFonts w:cs="Calibri"/>
          <w:i/>
          <w:sz w:val="18"/>
          <w:szCs w:val="20"/>
        </w:rPr>
        <w:t>ablica 15. Rodzaj badań kontrolnych</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center"/>
        <w:rPr>
          <w:rFonts w:cs="Calibri"/>
          <w:sz w:val="20"/>
          <w:szCs w:val="20"/>
        </w:rPr>
      </w:pPr>
      <w:r>
        <w:rPr/>
        <w:drawing>
          <wp:inline distT="0" distB="0" distL="0" distR="0">
            <wp:extent cx="4648200" cy="2562225"/>
            <wp:effectExtent l="0" t="0" r="0" b="0"/>
            <wp:docPr id="3" name="Obraz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3" descr=""/>
                    <pic:cNvPicPr>
                      <a:picLocks noChangeAspect="1" noChangeArrowheads="1"/>
                    </pic:cNvPicPr>
                  </pic:nvPicPr>
                  <pic:blipFill>
                    <a:blip r:embed="rId4"/>
                    <a:stretch>
                      <a:fillRect/>
                    </a:stretch>
                  </pic:blipFill>
                  <pic:spPr bwMode="auto">
                    <a:xfrm>
                      <a:off x="0" y="0"/>
                      <a:ext cx="4648200" cy="2562225"/>
                    </a:xfrm>
                    <a:prstGeom prst="rect">
                      <a:avLst/>
                    </a:prstGeom>
                  </pic:spPr>
                </pic:pic>
              </a:graphicData>
            </a:graphic>
          </wp:inline>
        </w:drawing>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6.3.4. Badania kontrolne dodatkowe</w:t>
      </w:r>
    </w:p>
    <w:p>
      <w:pPr>
        <w:pStyle w:val="Normal"/>
        <w:spacing w:lineRule="auto" w:line="240" w:before="0" w:after="0"/>
        <w:ind w:left="364"/>
        <w:jc w:val="both"/>
        <w:rPr>
          <w:rFonts w:cs="Calibri"/>
          <w:sz w:val="20"/>
          <w:szCs w:val="20"/>
        </w:rPr>
      </w:pPr>
      <w:r>
        <w:rPr>
          <w:rFonts w:cs="Calibri"/>
          <w:sz w:val="20"/>
          <w:szCs w:val="20"/>
        </w:rPr>
        <w:t>W wypadku uznania, że jeden z wyników badań kontrolnych nie jest reprezentatywny dla ocenianego odcinka budowy, Wykonawca ma prawo żądać przeprowadzenia badań kontrolnych dodatkowych.</w:t>
      </w:r>
    </w:p>
    <w:p>
      <w:pPr>
        <w:pStyle w:val="Normal"/>
        <w:spacing w:lineRule="auto" w:line="240" w:before="0" w:after="0"/>
        <w:ind w:left="364"/>
        <w:jc w:val="both"/>
        <w:rPr>
          <w:rFonts w:cs="Calibri"/>
          <w:sz w:val="20"/>
          <w:szCs w:val="20"/>
        </w:rPr>
      </w:pPr>
      <w:r>
        <w:rPr>
          <w:rFonts w:cs="Calibri"/>
          <w:sz w:val="20"/>
          <w:szCs w:val="20"/>
        </w:rPr>
        <w:t xml:space="preserve">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w:t>
      </w:r>
    </w:p>
    <w:p>
      <w:pPr>
        <w:pStyle w:val="Normal"/>
        <w:spacing w:lineRule="auto" w:line="240" w:before="0" w:after="0"/>
        <w:ind w:left="364"/>
        <w:jc w:val="both"/>
        <w:rPr>
          <w:rFonts w:cs="Calibri"/>
          <w:sz w:val="20"/>
          <w:szCs w:val="20"/>
        </w:rPr>
      </w:pPr>
      <w:r>
        <w:rPr>
          <w:rFonts w:cs="Calibri"/>
          <w:sz w:val="20"/>
          <w:szCs w:val="20"/>
        </w:rPr>
        <w:t>Do odbioru uwzględniane są wyniki badań kontrolnych i badań kontrolnych dodatkowych do wyznaczonych odcinków częściowych. Koszty badań kontrolnych dodatkowych zażądanych przez Wykonawcę ponosi Wykonawca.</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hanging="364" w:left="364"/>
        <w:jc w:val="both"/>
        <w:rPr>
          <w:rFonts w:cs="Calibri"/>
          <w:sz w:val="20"/>
          <w:szCs w:val="20"/>
        </w:rPr>
      </w:pPr>
      <w:r>
        <w:rPr>
          <w:rFonts w:cs="Calibri"/>
          <w:sz w:val="20"/>
          <w:szCs w:val="20"/>
        </w:rPr>
        <w:t>6.4. Właściwości warstwy i nawierzchni oraz dopuszczalne odchyłki</w:t>
      </w:r>
    </w:p>
    <w:p>
      <w:pPr>
        <w:pStyle w:val="Normal"/>
        <w:spacing w:lineRule="auto" w:line="240" w:before="0" w:after="0"/>
        <w:ind w:left="364"/>
        <w:jc w:val="both"/>
        <w:rPr>
          <w:rFonts w:cs="Calibri"/>
          <w:sz w:val="20"/>
          <w:szCs w:val="20"/>
        </w:rPr>
      </w:pPr>
      <w:r>
        <w:rPr>
          <w:rFonts w:cs="Calibri"/>
          <w:sz w:val="20"/>
          <w:szCs w:val="20"/>
        </w:rPr>
        <w:t>6.4.1. Mieszanka mineralno-asfaltowa</w:t>
      </w:r>
    </w:p>
    <w:p>
      <w:pPr>
        <w:pStyle w:val="Normal"/>
        <w:spacing w:lineRule="auto" w:line="240" w:before="0" w:after="0"/>
        <w:ind w:left="364"/>
        <w:jc w:val="both"/>
        <w:rPr>
          <w:rFonts w:cs="Calibri"/>
          <w:sz w:val="20"/>
          <w:szCs w:val="20"/>
        </w:rPr>
      </w:pPr>
      <w:r>
        <w:rPr>
          <w:rFonts w:cs="Calibri"/>
          <w:sz w:val="20"/>
          <w:szCs w:val="20"/>
        </w:rPr>
        <w:t>Właściwości materiałów należy oceniać na podstawie badań pobranych próbek mieszanki mineralnoasfaltowej</w:t>
      </w:r>
    </w:p>
    <w:p>
      <w:pPr>
        <w:pStyle w:val="Normal"/>
        <w:spacing w:lineRule="auto" w:line="240" w:before="0" w:after="0"/>
        <w:ind w:left="364"/>
        <w:jc w:val="both"/>
        <w:rPr>
          <w:rFonts w:cs="Calibri"/>
          <w:sz w:val="20"/>
          <w:szCs w:val="20"/>
        </w:rPr>
      </w:pPr>
      <w:r>
        <w:rPr>
          <w:rFonts w:cs="Calibri"/>
          <w:sz w:val="20"/>
          <w:szCs w:val="20"/>
        </w:rPr>
        <w:t>przed wbudowaniem (wbudowanie oznacza wykonanie warstwy asfaltowej). Wyjątkowo dopuszcza się badania próbek pobranych z wykonanej warstwy asfaltowej.</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 Warstwa asfaltowa</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6.4.2.1. Grubość warstwy oraz ilość materiału</w:t>
      </w:r>
    </w:p>
    <w:p>
      <w:pPr>
        <w:pStyle w:val="Normal"/>
        <w:spacing w:lineRule="auto" w:line="240" w:before="0" w:after="0"/>
        <w:ind w:left="1050"/>
        <w:jc w:val="both"/>
        <w:rPr>
          <w:rFonts w:cs="Calibri"/>
          <w:sz w:val="20"/>
          <w:szCs w:val="20"/>
        </w:rPr>
      </w:pPr>
      <w:r>
        <w:rPr>
          <w:rFonts w:cs="Calibri"/>
          <w:sz w:val="20"/>
          <w:szCs w:val="20"/>
        </w:rPr>
        <w:t xml:space="preserve">Grubość wykonanej warstwy oznaczana według PN-EN 12697-36 [40] oraz ilość wbudowanego materiału na określoną powierzchnię (dotyczy przede wszystkim cienkich warstw) mogą odbiegać od projektu </w:t>
        <w:br/>
        <w:t>o wartości podane w tablicy 16.</w:t>
      </w:r>
    </w:p>
    <w:p>
      <w:pPr>
        <w:pStyle w:val="Normal"/>
        <w:spacing w:lineRule="auto" w:line="240" w:before="0" w:after="0"/>
        <w:ind w:left="1050"/>
        <w:jc w:val="both"/>
        <w:rPr>
          <w:rFonts w:cs="Calibri"/>
          <w:sz w:val="20"/>
          <w:szCs w:val="20"/>
        </w:rPr>
      </w:pPr>
      <w:r>
        <w:rPr>
          <w:rFonts w:cs="Calibri"/>
          <w:sz w:val="20"/>
          <w:szCs w:val="20"/>
        </w:rPr>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pPr>
        <w:pStyle w:val="Normal"/>
        <w:spacing w:lineRule="auto" w:line="240" w:before="0" w:after="0"/>
        <w:ind w:left="1050"/>
        <w:jc w:val="both"/>
        <w:rPr>
          <w:rFonts w:cs="Calibri"/>
          <w:sz w:val="20"/>
          <w:szCs w:val="20"/>
        </w:rPr>
      </w:pPr>
      <w:r>
        <w:rPr>
          <w:rFonts w:cs="Calibri"/>
          <w:sz w:val="20"/>
          <w:szCs w:val="20"/>
        </w:rPr>
        <w:t>Za grubość warstwy lub warstw przyjmuje się średnią arytmetyczną wszystkich pojedynczych oznaczeń grubości warstwy na całym odcinku budowy lub odcinku częściowym.</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i/>
          <w:i/>
          <w:sz w:val="18"/>
          <w:szCs w:val="20"/>
        </w:rPr>
      </w:pPr>
      <w:r>
        <w:rPr>
          <w:rFonts w:cs="Calibri"/>
          <w:i/>
          <w:sz w:val="18"/>
          <w:szCs w:val="20"/>
        </w:rPr>
        <w:t>Tablica 16. Dopuszczalne odchyłki grubości warstwy oraz ilości materiału na określonej powierzchni, [%] Warunki oceny Warstwa asfaltowa ACa)</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center"/>
        <w:rPr>
          <w:rFonts w:cs="Calibri"/>
          <w:sz w:val="20"/>
          <w:szCs w:val="20"/>
        </w:rPr>
      </w:pPr>
      <w:r>
        <w:rPr/>
        <w:drawing>
          <wp:inline distT="0" distB="0" distL="0" distR="0">
            <wp:extent cx="5791200" cy="1619250"/>
            <wp:effectExtent l="0" t="0" r="0" b="0"/>
            <wp:docPr id="4" name="Obraz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4" descr=""/>
                    <pic:cNvPicPr>
                      <a:picLocks noChangeAspect="1" noChangeArrowheads="1"/>
                    </pic:cNvPicPr>
                  </pic:nvPicPr>
                  <pic:blipFill>
                    <a:blip r:embed="rId5"/>
                    <a:stretch>
                      <a:fillRect/>
                    </a:stretch>
                  </pic:blipFill>
                  <pic:spPr bwMode="auto">
                    <a:xfrm>
                      <a:off x="0" y="0"/>
                      <a:ext cx="5791200" cy="1619250"/>
                    </a:xfrm>
                    <a:prstGeom prst="rect">
                      <a:avLst/>
                    </a:prstGeom>
                  </pic:spPr>
                </pic:pic>
              </a:graphicData>
            </a:graphic>
          </wp:inline>
        </w:drawing>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6.4.2.2. Wskaźnik zagęszczenia warstwy</w:t>
      </w:r>
    </w:p>
    <w:p>
      <w:pPr>
        <w:pStyle w:val="Normal"/>
        <w:spacing w:lineRule="auto" w:line="240" w:before="0" w:after="0"/>
        <w:ind w:left="1022"/>
        <w:jc w:val="both"/>
        <w:rPr>
          <w:rFonts w:cs="Calibri"/>
          <w:sz w:val="20"/>
          <w:szCs w:val="20"/>
        </w:rPr>
      </w:pPr>
      <w:r>
        <w:rPr>
          <w:rFonts w:cs="Calibri"/>
          <w:sz w:val="20"/>
          <w:szCs w:val="20"/>
        </w:rPr>
        <w:t>Zagęszczenie wykonanej warstwy, wyrażone wskaźnikiem zagęszczenia oraz zawartością wolnych przestrzeni, nie może przekroczyć wartości dopuszczalnych podanych w tablicy 14. Dotyczy to każdego pojedynczego oznaczenia danej właściwości.</w:t>
      </w:r>
    </w:p>
    <w:p>
      <w:pPr>
        <w:pStyle w:val="Normal"/>
        <w:spacing w:lineRule="auto" w:line="240" w:before="0" w:after="0"/>
        <w:ind w:left="1022"/>
        <w:jc w:val="both"/>
        <w:rPr>
          <w:rFonts w:cs="Calibri"/>
          <w:sz w:val="20"/>
          <w:szCs w:val="20"/>
        </w:rPr>
      </w:pPr>
      <w:r>
        <w:rPr>
          <w:rFonts w:cs="Calibri"/>
          <w:sz w:val="20"/>
          <w:szCs w:val="20"/>
        </w:rPr>
        <w:t>Określenie gęstości objętościowej należy wykonywać według PN-EN 12697-6 [32].</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6.4.2.3. Zawartość wolnych przestrzeni w nawierzchni</w:t>
      </w:r>
    </w:p>
    <w:p>
      <w:pPr>
        <w:pStyle w:val="Normal"/>
        <w:spacing w:lineRule="auto" w:line="240" w:before="0" w:after="0"/>
        <w:ind w:left="1022"/>
        <w:jc w:val="both"/>
        <w:rPr>
          <w:rFonts w:cs="Calibri"/>
          <w:sz w:val="20"/>
          <w:szCs w:val="20"/>
        </w:rPr>
      </w:pPr>
      <w:r>
        <w:rPr>
          <w:rFonts w:cs="Calibri"/>
          <w:sz w:val="20"/>
          <w:szCs w:val="20"/>
        </w:rPr>
        <w:t>Zawartość wolnych przestrzeni w warstwie nawierzchni, nie może wykroczyć poza wartości dopuszczalne kreślone w tablicy 14.</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6.4.2.4. Spadki poprzeczne</w:t>
      </w:r>
    </w:p>
    <w:p>
      <w:pPr>
        <w:pStyle w:val="Normal"/>
        <w:spacing w:lineRule="auto" w:line="240" w:before="0" w:after="0"/>
        <w:ind w:left="1022"/>
        <w:jc w:val="both"/>
        <w:rPr>
          <w:rFonts w:cs="Calibri"/>
          <w:sz w:val="20"/>
          <w:szCs w:val="20"/>
        </w:rPr>
      </w:pPr>
      <w:r>
        <w:rPr>
          <w:rFonts w:cs="Calibri"/>
          <w:sz w:val="20"/>
          <w:szCs w:val="20"/>
        </w:rPr>
        <w:t>Spadki poprzeczne nawierzchni należy badać nie rzadziej niż co 20 m oraz w punktach głównych łuków poziomych. Spadki poprzeczne powinny być zgodne z dokumentacją projektową, z tolerancją ± 0,5%.</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6.4.2.5. Równość podłużna i poprzeczna</w:t>
      </w:r>
    </w:p>
    <w:p>
      <w:pPr>
        <w:pStyle w:val="Normal"/>
        <w:spacing w:lineRule="auto" w:line="240" w:before="0" w:after="0"/>
        <w:ind w:left="1036"/>
        <w:jc w:val="both"/>
        <w:rPr>
          <w:rFonts w:cs="Calibri"/>
          <w:sz w:val="20"/>
          <w:szCs w:val="20"/>
        </w:rPr>
      </w:pPr>
      <w:r>
        <w:rPr>
          <w:rFonts w:cs="Calibri"/>
          <w:sz w:val="20"/>
          <w:szCs w:val="20"/>
        </w:rPr>
        <w:t xml:space="preserve">Pomiary równości podłużnej należy wykonywać w środku każdego ocenianego pasa ruchu. Do oceny równości podłużnej warstwy ścieralnej nawierzchni drogi klasy G i dróg wyższych klas należy stosować metodę pomiaru umożliwiającą obliczanie wskaźnika równości IRI. Wartość IRI oblicza się dla odcinków </w:t>
        <w:br/>
        <w:t xml:space="preserve">o długości 50 m. Dopuszczalne wartości wskaźnika IRI wymagane przy odbiorze nawierzchni określono </w:t>
        <w:br/>
        <w:t>w rozporządzeniu dotyczącym warunków technicznych, jakim powinny odpowiadać drogi publiczne</w:t>
      </w:r>
    </w:p>
    <w:p>
      <w:pPr>
        <w:pStyle w:val="Normal"/>
        <w:spacing w:lineRule="auto" w:line="240" w:before="0" w:after="0"/>
        <w:ind w:left="1036"/>
        <w:jc w:val="both"/>
        <w:rPr>
          <w:rFonts w:cs="Calibri"/>
          <w:sz w:val="20"/>
          <w:szCs w:val="20"/>
        </w:rPr>
      </w:pPr>
      <w:r>
        <w:rPr>
          <w:rFonts w:cs="Calibri"/>
          <w:sz w:val="20"/>
          <w:szCs w:val="20"/>
        </w:rPr>
        <w:t>[67].</w:t>
      </w:r>
    </w:p>
    <w:p>
      <w:pPr>
        <w:pStyle w:val="Normal"/>
        <w:spacing w:lineRule="auto" w:line="240" w:before="0" w:after="0"/>
        <w:ind w:left="1050"/>
        <w:jc w:val="both"/>
        <w:rPr>
          <w:rFonts w:cs="Calibri"/>
          <w:sz w:val="20"/>
          <w:szCs w:val="20"/>
        </w:rPr>
      </w:pPr>
      <w:r>
        <w:rPr>
          <w:rFonts w:cs="Calibri"/>
          <w:sz w:val="20"/>
          <w:szCs w:val="20"/>
        </w:rPr>
        <w:t>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mm. Przez odchylenie równości rozumie się największą odległość między łatą a mierzoną powierzchnią.</w:t>
      </w:r>
    </w:p>
    <w:p>
      <w:pPr>
        <w:pStyle w:val="Normal"/>
        <w:spacing w:lineRule="auto" w:line="240" w:before="0" w:after="0"/>
        <w:ind w:left="1050"/>
        <w:jc w:val="both"/>
        <w:rPr>
          <w:rFonts w:cs="Calibri"/>
          <w:sz w:val="20"/>
          <w:szCs w:val="20"/>
        </w:rPr>
      </w:pPr>
      <w:r>
        <w:rPr>
          <w:rFonts w:cs="Calibri"/>
          <w:sz w:val="20"/>
          <w:szCs w:val="20"/>
        </w:rPr>
        <w:t xml:space="preserve">Wymagana równość podłużna &lt; 8mm. </w:t>
      </w:r>
    </w:p>
    <w:p>
      <w:pPr>
        <w:pStyle w:val="Normal"/>
        <w:spacing w:lineRule="auto" w:line="240" w:before="0" w:after="0"/>
        <w:ind w:left="1050"/>
        <w:jc w:val="both"/>
        <w:rPr>
          <w:rFonts w:cs="Calibri"/>
          <w:sz w:val="20"/>
          <w:szCs w:val="20"/>
        </w:rPr>
      </w:pPr>
      <w:r>
        <w:rPr>
          <w:rFonts w:cs="Calibri"/>
          <w:sz w:val="20"/>
          <w:szCs w:val="20"/>
        </w:rPr>
        <w:t>Przed upływem okresu gwarancyjnego wartość odchylenia równości podłużnej warstwy ścieralnej</w:t>
      </w:r>
    </w:p>
    <w:p>
      <w:pPr>
        <w:pStyle w:val="Normal"/>
        <w:spacing w:lineRule="auto" w:line="240" w:before="0" w:after="0"/>
        <w:ind w:left="1050"/>
        <w:jc w:val="both"/>
        <w:rPr>
          <w:rFonts w:cs="Calibri"/>
          <w:sz w:val="20"/>
          <w:szCs w:val="20"/>
        </w:rPr>
      </w:pPr>
      <w:r>
        <w:rPr>
          <w:rFonts w:cs="Calibri"/>
          <w:sz w:val="20"/>
          <w:szCs w:val="20"/>
        </w:rPr>
        <w:t>nawierzchni dróg klasy Z i L nie powinna być większa niż 8 mm. Badanie wykonuje się według procedury jak podczas odbioru nawierzchni.</w:t>
      </w:r>
    </w:p>
    <w:p>
      <w:pPr>
        <w:pStyle w:val="Normal"/>
        <w:spacing w:lineRule="auto" w:line="240" w:before="0" w:after="0"/>
        <w:ind w:left="1050"/>
        <w:jc w:val="both"/>
        <w:rPr>
          <w:rFonts w:cs="Calibri"/>
          <w:sz w:val="20"/>
          <w:szCs w:val="20"/>
        </w:rPr>
      </w:pPr>
      <w:r>
        <w:rPr>
          <w:rFonts w:cs="Calibri"/>
          <w:sz w:val="20"/>
          <w:szCs w:val="20"/>
        </w:rPr>
        <w:t>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 [67].</w:t>
      </w:r>
    </w:p>
    <w:p>
      <w:pPr>
        <w:pStyle w:val="Normal"/>
        <w:spacing w:lineRule="auto" w:line="240" w:before="0" w:after="0"/>
        <w:ind w:left="1050"/>
        <w:jc w:val="both"/>
        <w:rPr>
          <w:rFonts w:cs="Calibri"/>
          <w:sz w:val="20"/>
          <w:szCs w:val="20"/>
        </w:rPr>
      </w:pPr>
      <w:r>
        <w:rPr>
          <w:rFonts w:cs="Calibri"/>
          <w:sz w:val="20"/>
          <w:szCs w:val="20"/>
        </w:rPr>
        <w:t>Wymagana równość poprzeczna &lt; 8mm</w:t>
      </w:r>
    </w:p>
    <w:p>
      <w:pPr>
        <w:pStyle w:val="Normal"/>
        <w:spacing w:lineRule="auto" w:line="240" w:before="0" w:after="0"/>
        <w:ind w:left="1050"/>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t>6.4.2.6. Pozostałe właściwości warstwy asfaltowej</w:t>
      </w:r>
    </w:p>
    <w:p>
      <w:pPr>
        <w:pStyle w:val="Normal"/>
        <w:spacing w:lineRule="auto" w:line="240" w:before="0" w:after="0"/>
        <w:ind w:left="1022"/>
        <w:jc w:val="both"/>
        <w:rPr>
          <w:rFonts w:cs="Calibri"/>
          <w:sz w:val="20"/>
          <w:szCs w:val="20"/>
        </w:rPr>
      </w:pPr>
      <w:r>
        <w:rPr>
          <w:rFonts w:cs="Calibri"/>
          <w:sz w:val="20"/>
          <w:szCs w:val="20"/>
        </w:rPr>
        <w:t xml:space="preserve">Szerokość warstwy, mierzona 10 razy na 1 km każdej jezdni, nie może się różnić od szerokości projektowanej o więcej niż ± 5 cm. 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 Ukształtowanie osi w planie, mierzone co 100 m, nie powinno różnić się od dokumentacji projektowej o ± 5 cm. Złącza podłużne i poprzeczne, sprawdzone wizualnie, powinny być równe </w:t>
        <w:br/>
        <w:t>i związane, wykonane w linii prostej, równolegle lub prostopadle do osi drogi. Przylegające warstwy powinny być w jednym poziomie. Wygląd zewnętrzny warstwy, sprawdzony wizualnie, powinien być jednorodny, bez spękań, deformacji, plam i wykruszeń.</w:t>
      </w:r>
    </w:p>
    <w:p>
      <w:pPr>
        <w:pStyle w:val="Normal"/>
        <w:spacing w:lineRule="auto" w:line="240" w:before="0" w:after="0"/>
        <w:ind w:left="1022"/>
        <w:jc w:val="both"/>
        <w:rPr>
          <w:rFonts w:cs="Calibri"/>
          <w:sz w:val="20"/>
          <w:szCs w:val="20"/>
        </w:rPr>
      </w:pPr>
      <w:r>
        <w:rPr>
          <w:rFonts w:cs="Calibri"/>
          <w:sz w:val="20"/>
          <w:szCs w:val="20"/>
        </w:rPr>
      </w:r>
    </w:p>
    <w:p>
      <w:pPr>
        <w:pStyle w:val="Normal"/>
        <w:spacing w:lineRule="auto" w:line="240" w:before="0" w:after="0"/>
        <w:ind w:left="1022"/>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7. OBMIAR ROBÓT</w:t>
      </w:r>
    </w:p>
    <w:p>
      <w:pPr>
        <w:pStyle w:val="Normal"/>
        <w:spacing w:lineRule="auto" w:line="240" w:before="0" w:after="0"/>
        <w:jc w:val="both"/>
        <w:rPr>
          <w:rFonts w:cs="Calibri"/>
          <w:sz w:val="20"/>
          <w:szCs w:val="20"/>
        </w:rPr>
      </w:pPr>
      <w:r>
        <w:rPr>
          <w:rFonts w:cs="Calibri"/>
          <w:sz w:val="20"/>
          <w:szCs w:val="20"/>
        </w:rPr>
        <w:t>7.1. Ogólne zasady obmiaru robót</w:t>
      </w:r>
    </w:p>
    <w:p>
      <w:pPr>
        <w:pStyle w:val="Normal"/>
        <w:spacing w:lineRule="auto" w:line="240" w:before="0" w:after="0"/>
        <w:ind w:left="364"/>
        <w:jc w:val="both"/>
        <w:rPr>
          <w:rFonts w:cs="Calibri"/>
          <w:sz w:val="20"/>
          <w:szCs w:val="20"/>
        </w:rPr>
      </w:pPr>
      <w:r>
        <w:rPr>
          <w:rFonts w:cs="Calibri"/>
          <w:sz w:val="20"/>
          <w:szCs w:val="20"/>
        </w:rPr>
        <w:t>Ogólne zasady obmiaru robót podano w STWIORB D-M-00.00.00 „Wymagania ogólne” [1] pkt 7.</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7.2. Jednostka obmiarowa</w:t>
      </w:r>
    </w:p>
    <w:p>
      <w:pPr>
        <w:pStyle w:val="Normal"/>
        <w:spacing w:lineRule="auto" w:line="240" w:before="0" w:after="0"/>
        <w:ind w:left="364"/>
        <w:jc w:val="both"/>
        <w:rPr>
          <w:rFonts w:cs="Calibri"/>
          <w:sz w:val="20"/>
          <w:szCs w:val="20"/>
        </w:rPr>
      </w:pPr>
      <w:r>
        <w:rPr>
          <w:rFonts w:cs="Calibri"/>
          <w:sz w:val="20"/>
          <w:szCs w:val="20"/>
        </w:rPr>
        <w:t>Jednostką obmiarową jest m2 (metr kwadratowy) wykonanej warstwy ścieralnej z betonu asfaltowego</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8. ODBIÓR ROBÓT</w:t>
      </w:r>
    </w:p>
    <w:p>
      <w:pPr>
        <w:pStyle w:val="Normal"/>
        <w:spacing w:lineRule="auto" w:line="240" w:before="0" w:after="0"/>
        <w:ind w:left="364"/>
        <w:jc w:val="both"/>
        <w:rPr>
          <w:rFonts w:cs="Calibri"/>
          <w:sz w:val="20"/>
          <w:szCs w:val="20"/>
        </w:rPr>
      </w:pPr>
      <w:r>
        <w:rPr>
          <w:rFonts w:cs="Calibri"/>
          <w:sz w:val="20"/>
          <w:szCs w:val="20"/>
        </w:rPr>
        <w:t>Ogólne zasady odbioru robót podano w STWIORB D-M-00.00.00 „Wymagania ogólne” [1] pkt 8.</w:t>
      </w:r>
    </w:p>
    <w:p>
      <w:pPr>
        <w:pStyle w:val="Normal"/>
        <w:spacing w:lineRule="auto" w:line="240" w:before="0" w:after="0"/>
        <w:ind w:left="364"/>
        <w:jc w:val="both"/>
        <w:rPr>
          <w:rFonts w:cs="Calibri"/>
          <w:sz w:val="20"/>
          <w:szCs w:val="20"/>
        </w:rPr>
      </w:pPr>
      <w:r>
        <w:rPr>
          <w:rFonts w:cs="Calibri"/>
          <w:sz w:val="20"/>
          <w:szCs w:val="20"/>
        </w:rPr>
        <w:t>Roboty uznaje się za wykonane zgodnie z dokumentacją projektową, ST i wymaganiami Inżyniera, jeżeli wszystkie pomiary i badania z zachowaniem tolerancji według pktu 6 dały wyniki pozytywne.</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9. PODSTAWA PŁATNOŚCI</w:t>
      </w:r>
    </w:p>
    <w:p>
      <w:pPr>
        <w:pStyle w:val="Normal"/>
        <w:spacing w:lineRule="auto" w:line="240" w:before="0" w:after="0"/>
        <w:jc w:val="both"/>
        <w:rPr>
          <w:rFonts w:cs="Calibri"/>
          <w:sz w:val="20"/>
          <w:szCs w:val="20"/>
        </w:rPr>
      </w:pPr>
      <w:r>
        <w:rPr>
          <w:rFonts w:cs="Calibri"/>
          <w:sz w:val="20"/>
          <w:szCs w:val="20"/>
        </w:rPr>
        <w:t>9.1. Ogólne ustalenia dotyczące podstawy płatności</w:t>
      </w:r>
    </w:p>
    <w:p>
      <w:pPr>
        <w:pStyle w:val="Normal"/>
        <w:spacing w:lineRule="auto" w:line="240" w:before="0" w:after="0"/>
        <w:ind w:left="364"/>
        <w:jc w:val="both"/>
        <w:rPr>
          <w:rFonts w:cs="Calibri"/>
          <w:sz w:val="20"/>
          <w:szCs w:val="20"/>
        </w:rPr>
      </w:pPr>
      <w:r>
        <w:rPr>
          <w:rFonts w:cs="Calibri"/>
          <w:sz w:val="20"/>
          <w:szCs w:val="20"/>
        </w:rPr>
        <w:t>Ogólne ustalenia dotyczące podstawy płatności podano w STWIORB D-M-00.00.00 „Wymagania ogólne” [1] pkt 9.</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9.2. Cena jednostki obmiarowej</w:t>
      </w:r>
    </w:p>
    <w:p>
      <w:pPr>
        <w:pStyle w:val="Normal"/>
        <w:spacing w:lineRule="auto" w:line="240" w:before="0" w:after="0"/>
        <w:ind w:left="364"/>
        <w:jc w:val="both"/>
        <w:rPr>
          <w:rFonts w:cs="Calibri"/>
          <w:sz w:val="20"/>
          <w:szCs w:val="20"/>
        </w:rPr>
      </w:pPr>
      <w:r>
        <w:rPr>
          <w:rFonts w:cs="Calibri"/>
          <w:sz w:val="20"/>
          <w:szCs w:val="20"/>
        </w:rPr>
        <w:t>Cena wykonania 1 m2 warstwy ścieralnej z betonu asfaltowego (AC) obejmuje:</w:t>
      </w:r>
    </w:p>
    <w:p>
      <w:pPr>
        <w:pStyle w:val="ListParagraph"/>
        <w:numPr>
          <w:ilvl w:val="0"/>
          <w:numId w:val="5"/>
        </w:numPr>
        <w:spacing w:lineRule="auto" w:line="240" w:before="0" w:after="0"/>
        <w:contextualSpacing/>
        <w:jc w:val="both"/>
        <w:rPr>
          <w:rFonts w:cs="Calibri"/>
          <w:sz w:val="20"/>
          <w:szCs w:val="20"/>
        </w:rPr>
      </w:pPr>
      <w:r>
        <w:rPr>
          <w:rFonts w:cs="Calibri"/>
          <w:sz w:val="20"/>
          <w:szCs w:val="20"/>
        </w:rPr>
        <w:t>prace pomiarowe i roboty przygotowawcze,</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oznakowanie robót,</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oczyszczenie i skropienie podłoża,</w:t>
      </w:r>
    </w:p>
    <w:p>
      <w:pPr>
        <w:pStyle w:val="ListParagraph"/>
        <w:numPr>
          <w:ilvl w:val="0"/>
          <w:numId w:val="5"/>
        </w:numPr>
        <w:spacing w:lineRule="auto" w:line="240" w:before="0" w:after="0"/>
        <w:contextualSpacing/>
        <w:jc w:val="both"/>
        <w:rPr>
          <w:rFonts w:cs="Calibri"/>
          <w:sz w:val="20"/>
          <w:szCs w:val="20"/>
        </w:rPr>
      </w:pPr>
      <w:r>
        <w:rPr>
          <w:rFonts w:cs="Calibri"/>
          <w:sz w:val="20"/>
          <w:szCs w:val="20"/>
        </w:rPr>
        <w:t>dostarczenie materiałów i sprzętu,</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opracowanie recepty laboratoryjnej,</w:t>
      </w:r>
    </w:p>
    <w:p>
      <w:pPr>
        <w:pStyle w:val="ListParagraph"/>
        <w:numPr>
          <w:ilvl w:val="0"/>
          <w:numId w:val="5"/>
        </w:numPr>
        <w:spacing w:lineRule="auto" w:line="240" w:before="0" w:after="0"/>
        <w:contextualSpacing/>
        <w:jc w:val="both"/>
        <w:rPr>
          <w:rFonts w:cs="Calibri"/>
          <w:sz w:val="20"/>
          <w:szCs w:val="20"/>
        </w:rPr>
      </w:pPr>
      <w:r>
        <w:rPr>
          <w:rFonts w:cs="Calibri"/>
          <w:sz w:val="20"/>
          <w:szCs w:val="20"/>
        </w:rPr>
        <w:t>wykonanie próby technologicznej i odcinka próbnego,</w:t>
      </w:r>
    </w:p>
    <w:p>
      <w:pPr>
        <w:pStyle w:val="ListParagraph"/>
        <w:numPr>
          <w:ilvl w:val="0"/>
          <w:numId w:val="5"/>
        </w:numPr>
        <w:spacing w:lineRule="auto" w:line="240" w:before="0" w:after="0"/>
        <w:contextualSpacing/>
        <w:jc w:val="both"/>
        <w:rPr>
          <w:rFonts w:cs="Calibri"/>
          <w:sz w:val="20"/>
          <w:szCs w:val="20"/>
        </w:rPr>
      </w:pPr>
      <w:r>
        <w:rPr>
          <w:rFonts w:cs="Calibri"/>
          <w:sz w:val="20"/>
          <w:szCs w:val="20"/>
        </w:rPr>
        <w:t>wyprodukowanie mieszanki betonu asfaltowego i jej transport na miejsce wbudowania,</w:t>
      </w:r>
    </w:p>
    <w:p>
      <w:pPr>
        <w:pStyle w:val="ListParagraph"/>
        <w:numPr>
          <w:ilvl w:val="0"/>
          <w:numId w:val="5"/>
        </w:numPr>
        <w:spacing w:lineRule="auto" w:line="240" w:before="0" w:after="0"/>
        <w:contextualSpacing/>
        <w:jc w:val="both"/>
        <w:rPr>
          <w:rFonts w:cs="Calibri"/>
          <w:sz w:val="20"/>
          <w:szCs w:val="20"/>
        </w:rPr>
      </w:pPr>
      <w:r>
        <w:rPr>
          <w:rFonts w:cs="Calibri"/>
          <w:sz w:val="20"/>
          <w:szCs w:val="20"/>
        </w:rPr>
        <w:t>posmarowanie lepiszczem lub pokrycie taśmą asfaltową krawędzi urządzeń obcych i krawężników,</w:t>
      </w:r>
    </w:p>
    <w:p>
      <w:pPr>
        <w:pStyle w:val="ListParagraph"/>
        <w:numPr>
          <w:ilvl w:val="0"/>
          <w:numId w:val="5"/>
        </w:numPr>
        <w:spacing w:lineRule="auto" w:line="240" w:before="0" w:after="0"/>
        <w:contextualSpacing/>
        <w:jc w:val="both"/>
        <w:rPr>
          <w:rFonts w:cs="Calibri"/>
          <w:sz w:val="20"/>
          <w:szCs w:val="20"/>
        </w:rPr>
      </w:pPr>
      <w:r>
        <w:rPr>
          <w:rFonts w:cs="Calibri"/>
          <w:sz w:val="20"/>
          <w:szCs w:val="20"/>
        </w:rPr>
        <w:t>rozłożenie i zagęszczenie mieszanki betonu asfaltowego,</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obcięcie krawędzi i posmarowanie lepiszczem,</w:t>
      </w:r>
    </w:p>
    <w:p>
      <w:pPr>
        <w:pStyle w:val="ListParagraph"/>
        <w:numPr>
          <w:ilvl w:val="0"/>
          <w:numId w:val="5"/>
        </w:numPr>
        <w:spacing w:lineRule="auto" w:line="240" w:before="0" w:after="0"/>
        <w:contextualSpacing/>
        <w:jc w:val="both"/>
        <w:rPr>
          <w:rFonts w:cs="Calibri"/>
          <w:sz w:val="20"/>
          <w:szCs w:val="20"/>
        </w:rPr>
      </w:pPr>
      <w:r>
        <w:rPr>
          <w:rFonts w:cs="Calibri"/>
          <w:sz w:val="20"/>
          <w:szCs w:val="20"/>
        </w:rPr>
        <w:t>przeprowadzenie pomiarów i badań wymaganych w specyfikacji technicznej,</w:t>
      </w:r>
    </w:p>
    <w:p>
      <w:pPr>
        <w:pStyle w:val="ListParagraph"/>
        <w:numPr>
          <w:ilvl w:val="0"/>
          <w:numId w:val="5"/>
        </w:numPr>
        <w:spacing w:lineRule="auto" w:line="240" w:before="0" w:after="0"/>
        <w:contextualSpacing/>
        <w:jc w:val="both"/>
        <w:rPr>
          <w:rFonts w:cs="Calibri"/>
          <w:sz w:val="20"/>
          <w:szCs w:val="20"/>
        </w:rPr>
      </w:pPr>
      <w:r>
        <w:rPr>
          <w:rFonts w:cs="Calibri"/>
          <w:sz w:val="20"/>
          <w:szCs w:val="20"/>
        </w:rPr>
        <w:t>odwiezienie sprzętu.</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9.3. Sposób rozliczenia robót tymczasowych i prac towarzyszących</w:t>
      </w:r>
    </w:p>
    <w:p>
      <w:pPr>
        <w:pStyle w:val="Normal"/>
        <w:spacing w:lineRule="auto" w:line="240" w:before="0" w:after="0"/>
        <w:ind w:left="364"/>
        <w:jc w:val="both"/>
        <w:rPr>
          <w:rFonts w:cs="Calibri"/>
          <w:sz w:val="20"/>
          <w:szCs w:val="20"/>
        </w:rPr>
      </w:pPr>
      <w:r>
        <w:rPr>
          <w:rFonts w:cs="Calibri"/>
          <w:sz w:val="20"/>
          <w:szCs w:val="20"/>
        </w:rPr>
        <w:t>Cena wykonania robót określonych niniejszą STWIORB obejmuje:</w:t>
      </w:r>
    </w:p>
    <w:p>
      <w:pPr>
        <w:pStyle w:val="ListParagraph"/>
        <w:numPr>
          <w:ilvl w:val="0"/>
          <w:numId w:val="5"/>
        </w:numPr>
        <w:spacing w:lineRule="auto" w:line="240" w:before="0" w:after="0"/>
        <w:contextualSpacing/>
        <w:jc w:val="both"/>
        <w:rPr>
          <w:rFonts w:cs="Calibri"/>
          <w:sz w:val="20"/>
          <w:szCs w:val="20"/>
        </w:rPr>
      </w:pPr>
      <w:r>
        <w:rPr>
          <w:rFonts w:cs="Calibri"/>
          <w:sz w:val="20"/>
          <w:szCs w:val="20"/>
        </w:rPr>
        <w:t>roboty tymczasowe, które są potrzebne do wykonania robót podstawowych, ale nie są przekazywane Zamawiającemu i są usuwane po wykonaniu robót podstawowych,</w:t>
      </w:r>
    </w:p>
    <w:p>
      <w:pPr>
        <w:pStyle w:val="ListParagraph"/>
        <w:numPr>
          <w:ilvl w:val="0"/>
          <w:numId w:val="5"/>
        </w:numPr>
        <w:spacing w:lineRule="auto" w:line="240" w:before="0" w:after="0"/>
        <w:contextualSpacing/>
        <w:jc w:val="both"/>
        <w:rPr>
          <w:rFonts w:cs="Calibri"/>
          <w:sz w:val="20"/>
          <w:szCs w:val="20"/>
        </w:rPr>
      </w:pPr>
      <w:r>
        <w:rPr>
          <w:rFonts w:cs="Calibri"/>
          <w:sz w:val="20"/>
          <w:szCs w:val="20"/>
        </w:rPr>
        <w:t>prace towarzyszące, które są niezbędne do wykonania robót podstawowych, niezaliczane do robót tymczasowych, jak geodezyjne wytyczenie robót itd.</w:t>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ind w:left="364"/>
        <w:jc w:val="both"/>
        <w:rPr>
          <w:rFonts w:cs="Calibri"/>
          <w:sz w:val="20"/>
          <w:szCs w:val="20"/>
        </w:rPr>
      </w:pPr>
      <w:r>
        <w:rPr>
          <w:rFonts w:cs="Calibri"/>
          <w:sz w:val="20"/>
          <w:szCs w:val="20"/>
        </w:rPr>
      </w:r>
    </w:p>
    <w:p>
      <w:pPr>
        <w:pStyle w:val="Normal"/>
        <w:spacing w:lineRule="auto" w:line="240" w:before="0" w:after="0"/>
        <w:jc w:val="both"/>
        <w:rPr>
          <w:rFonts w:cs="Calibri"/>
          <w:b/>
          <w:sz w:val="20"/>
          <w:szCs w:val="20"/>
        </w:rPr>
      </w:pPr>
      <w:r>
        <w:rPr>
          <w:rFonts w:cs="Calibri"/>
          <w:b/>
          <w:sz w:val="20"/>
          <w:szCs w:val="20"/>
        </w:rPr>
        <w:t>10. PRZEPISY ZWIĄZANE</w:t>
      </w:r>
    </w:p>
    <w:p>
      <w:pPr>
        <w:pStyle w:val="Normal"/>
        <w:spacing w:lineRule="auto" w:line="240" w:before="0" w:after="0"/>
        <w:jc w:val="both"/>
        <w:rPr>
          <w:rFonts w:cs="Calibri"/>
          <w:sz w:val="20"/>
          <w:szCs w:val="20"/>
        </w:rPr>
      </w:pPr>
      <w:r>
        <w:rPr>
          <w:rFonts w:cs="Calibri"/>
          <w:sz w:val="20"/>
          <w:szCs w:val="20"/>
        </w:rPr>
        <w:t>10.1. Ogólne specyfikacje techniczne (STWIORB)</w:t>
      </w:r>
    </w:p>
    <w:p>
      <w:pPr>
        <w:pStyle w:val="ListParagraph"/>
        <w:numPr>
          <w:ilvl w:val="0"/>
          <w:numId w:val="7"/>
        </w:numPr>
        <w:spacing w:lineRule="auto" w:line="240" w:before="0" w:after="0"/>
        <w:contextualSpacing/>
        <w:jc w:val="both"/>
        <w:rPr>
          <w:rFonts w:cs="Calibri"/>
          <w:sz w:val="20"/>
          <w:szCs w:val="20"/>
        </w:rPr>
      </w:pPr>
      <w:r>
        <w:rPr>
          <w:rFonts w:cs="Calibri"/>
          <w:sz w:val="20"/>
          <w:szCs w:val="20"/>
        </w:rPr>
        <w:t xml:space="preserve">Załącznik 1 </w:t>
        <w:tab/>
        <w:t>Zakładowa kontrola produkcji;</w:t>
      </w:r>
    </w:p>
    <w:p>
      <w:pPr>
        <w:pStyle w:val="ListParagraph"/>
        <w:numPr>
          <w:ilvl w:val="0"/>
          <w:numId w:val="7"/>
        </w:numPr>
        <w:spacing w:lineRule="auto" w:line="240" w:before="0" w:after="0"/>
        <w:contextualSpacing/>
        <w:jc w:val="both"/>
        <w:rPr>
          <w:rFonts w:cs="Calibri"/>
          <w:sz w:val="20"/>
          <w:szCs w:val="20"/>
        </w:rPr>
      </w:pPr>
      <w:r>
        <w:rPr>
          <w:rFonts w:cs="Calibri"/>
          <w:sz w:val="20"/>
          <w:szCs w:val="20"/>
        </w:rPr>
        <w:t xml:space="preserve">Załącznik 2 </w:t>
        <w:tab/>
        <w:t>Wymagane własności kruszyw wg WT-1 i PN-EN 13043 w części dotyczącej SMA 11 KR5;</w:t>
      </w:r>
    </w:p>
    <w:p>
      <w:pPr>
        <w:pStyle w:val="ListParagraph"/>
        <w:numPr>
          <w:ilvl w:val="0"/>
          <w:numId w:val="7"/>
        </w:numPr>
        <w:spacing w:lineRule="auto" w:line="240" w:before="0" w:after="0"/>
        <w:contextualSpacing/>
        <w:jc w:val="both"/>
        <w:rPr>
          <w:rFonts w:cs="Calibri"/>
          <w:sz w:val="20"/>
          <w:szCs w:val="20"/>
        </w:rPr>
      </w:pPr>
      <w:r>
        <w:rPr>
          <w:rFonts w:cs="Calibri"/>
          <w:sz w:val="20"/>
          <w:szCs w:val="20"/>
        </w:rPr>
        <w:t xml:space="preserve">Załącznik 3 </w:t>
        <w:tab/>
        <w:t>Wymaga dotyczące kationowych emulsji asfaltowych;</w:t>
      </w:r>
    </w:p>
    <w:p>
      <w:pPr>
        <w:pStyle w:val="ListParagraph"/>
        <w:numPr>
          <w:ilvl w:val="0"/>
          <w:numId w:val="7"/>
        </w:numPr>
        <w:spacing w:lineRule="auto" w:line="240" w:before="0" w:after="0"/>
        <w:contextualSpacing/>
        <w:jc w:val="both"/>
        <w:rPr>
          <w:rFonts w:cs="Calibri"/>
          <w:sz w:val="20"/>
          <w:szCs w:val="20"/>
        </w:rPr>
      </w:pPr>
      <w:r>
        <w:rPr>
          <w:rFonts w:cs="Calibri"/>
          <w:sz w:val="20"/>
          <w:szCs w:val="20"/>
        </w:rPr>
        <w:t xml:space="preserve">Załącznik 4 </w:t>
        <w:tab/>
        <w:t>Instrukcja badawcza – określanie odporności próbek na działanie wody i mrozu.</w:t>
      </w:r>
    </w:p>
    <w:p>
      <w:pPr>
        <w:pStyle w:val="Normal"/>
        <w:spacing w:lineRule="auto" w:line="240" w:before="0" w:after="0"/>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10.2. Normy</w:t>
      </w:r>
    </w:p>
    <w:p>
      <w:pPr>
        <w:pStyle w:val="Normal"/>
        <w:spacing w:lineRule="auto" w:line="240" w:before="0" w:after="0"/>
        <w:ind w:left="360"/>
        <w:jc w:val="both"/>
        <w:rPr>
          <w:rFonts w:cs="Calibri"/>
          <w:i/>
          <w:i/>
          <w:sz w:val="18"/>
          <w:szCs w:val="20"/>
        </w:rPr>
      </w:pPr>
      <w:r>
        <w:rPr>
          <w:rFonts w:cs="Calibri"/>
          <w:i/>
          <w:sz w:val="18"/>
          <w:szCs w:val="20"/>
        </w:rPr>
        <w:t>(Zestawienie zawiera dodatkowo normy PN-EN związane z badaniami materiałów występujących w niniejszej OST)</w:t>
      </w:r>
    </w:p>
    <w:p>
      <w:pPr>
        <w:pStyle w:val="Normal"/>
        <w:spacing w:lineRule="auto" w:line="240" w:before="0" w:after="0"/>
        <w:ind w:left="360"/>
        <w:jc w:val="both"/>
        <w:rPr>
          <w:rFonts w:cs="Calibri"/>
          <w:i/>
          <w:i/>
          <w:sz w:val="18"/>
          <w:szCs w:val="20"/>
        </w:rPr>
      </w:pPr>
      <w:r>
        <w:rPr>
          <w:rFonts w:cs="Calibri"/>
          <w:i/>
          <w:sz w:val="18"/>
          <w:szCs w:val="20"/>
        </w:rPr>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932-3 Badania podstawowych właściwości kruszyw – Procedura i terminologia uproszczonego opisu petrograficznego;</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933-1 Badania geometrycznych właściwości kruszyw – Oznaczanie składu ziarnowego – Metoda przesiewania;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933-3 Badania geometrycznych właściwości kruszyw – Oznaczanie kształtu ziaren za pomocą wskaźnika płaskości;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933-4 Badania geometrycznych właściwości kruszyw – Część 4: Oznaczanie kształtu ziaren – Wskaźnik kształtu;</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933-5 Badania geometrycznych właściwości kruszyw – Oznaczanie procentowej zawartości ziaren </w:t>
        <w:br/>
        <w:t xml:space="preserve">o powierzchniach powstałych w wyniku przekruszenia lub łamania kruszyw grubych;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933-6 Badania geometrycznych właściwości kruszyw – Część 6: Ocena właściwości powierzchni – Wskaźnik przepływu kruszywa;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933-9 Badania geometrycznych właściwości kruszyw – Ocena zawartości drobnych cząstek – Badania błękitem metylenowym;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933-10 Badania geometrycznych właściwości kruszyw – Część 10: Ocena zawartości drobnych cząstek – Uziarnienie wypełniaczy (przesiewanie w strumieniu powietrza);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1097-2 Badania mechanicznych i fizycznych właściwości kruszyw – Metody oznaczania odporności na rozdrabnianie;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1097-3 Badania mechanicznych i fizycznych właściwości kruszyw – Oznaczanie gęstości nasypowej </w:t>
        <w:br/>
        <w:t>i jamistości;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1097-4 Badania mechanicznych i fizycznych właściwości kruszyw – Część 4: Oznaczanie pustych przestrzeni suchego, zagęszczonego wypełniacza;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1097-5 Badania mechanicznych i fizycznych właściwości kruszyw – Część 5: Oznaczanie zawartości wody przez suszenie w suszarce z wentylacją;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1097-6 Badania mechanicznych i fizycznych właściwości kruszyw –Część 6: Oznaczanie gęstości ziaren </w:t>
        <w:br/>
        <w:t>i nasiąkliwości;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1097-7 Badania mechanicznych i fizycznych właściwości kruszyw – Część 7: Oznaczanie gęstości wypełniacza – Metoda piknometryczna;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1097-8 Badania mechanicznych i fizycznych właściwości kruszyw – Część 8: Oznaczanie polerowalności kamienia;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1367-1 Badania właściwości cieplnych i odporności kruszyw na działanie czynników atmosferycznych – Część 1: Oznaczanie mrozoodporności;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1367-3 Badania właściwości cieplnych i odporności kruszyw na działanie czynników atmosferycznych – Część 3: Badanie bazaltowej zgorzeli słonecznej metodą gotowania;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1426 Asfalty i produkty asfaltowe – Oznaczanie penetracji igłą;</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1427 Asfalty i produkty asfaltowe – Oznaczanie temperatury mięknienia – Metodą „pierścień i kula”;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1428 Asfalty i lepiszcza asfaltowe – Oznaczanie zawartości wody w emulsjach asfaltowych – Metoda destylacji azeotropowej;</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1429 Asfalty i lepiszcza asfaltowe – Oznaczanie pozostałości na sicie emulsji asfaltowych oraz trwałości podczas magazynowania metodą pozostałości na sicie;</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1744-1 Badania chemicznych właściwości kruszyw – Analiza chemiczna;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1744-4 Badania chemicznych właściwości kruszyw – Część 4: Oznaczanie podatności wypełniaczy do mieszanek mineralno-asfaltowych na działanie wody;</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12591 Asfalty i produkty asfaltowe – Wymagania dla asfaltów drogowych;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12592 Asfalty i produkty asfaltowe – Oznaczanie rozpuszczalności;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12593 Asfalty i produkty asfaltowe – Oznaczanie temperatury łamliwości Fraassa;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12606-1 Asfalty i produkty asfaltowe – Oznaczanie zawartości parafiny – Część 1: Metoda destylacyjna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12607-1 Asfalty i produkty asfaltowe – Oznaczanie odporności na twardnienie pod wpływem ciepła </w:t>
        <w:br/>
        <w:t xml:space="preserve">i powietrza – Część 1: Metoda RTFOT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12607-3 jw. Część 3: Metoda RFT;</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12697-6 Mieszanki mineralno-asfaltowe – Metody badań mieszanek mineralnoasfaltowych na gorąco – Część 6: Oznaczanie gęstości objętościowej metodą hydrostatyczną</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12697-8 Mieszanki mineralno-asfaltowe – Metody badań mieszanek mineralnoasfaltowych na gorąco – Część 8: Oznaczanie zawartości wolnej przestrzeni;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12697-11 Mieszanki mineralno-asfaltowe – Metody badań mieszanek mineralnoasfaltowych na gorąco – Część 11: Określenie powiązania pomiędzy kruszywem i asfaltem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12697-12 Mieszanki mineralno-asfaltowe – Metody badań mieszanek mineralnoasfaltowych na gorąco – Część 12: Określanie wrażliwości na wodę;</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12697-13 Mieszanki mineralno-asfaltowe – Metody badań mieszanek mineralnoasfaltowych na gorąco – Część 13: Pomiar temperatury;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12697-18 Mieszanki mineralno-asfaltowe – Metody badań mieszanek mineralnoasfaltowych na gorąco – Część 18: Spływanie lepiszcza;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12697-22 Mieszanki mineralno-asfaltowe – Metody badań mieszanek mineralnoasfaltowych na gorąco – Część 22: Koleinowanie;</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12697-27 Mieszanki mineralno-asfaltowe – Metody badań mieszanek mineralnoasfaltowych na gorąco – Część 27: Pobieranie próbek;</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12697-36 Mieszanki mineralno-asfaltowe – Metody badań mieszanek mineralnoasfaltowych na gorąco – Część 36: Oznaczanie grubości nawierzchni asfaltowych;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12846 Asfalty i lepiszcza asfaltowe – Oznaczanie czasu wypływu emulsji asfaltowych lepkościomierzem wypływowym;</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12847 Asfalty i lepiszcza asfaltowe – Oznaczanie sedymentacji emulsji asfaltowych;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12850 Asfalty i lepiszcza asfaltowe – Oznaczanie wartości pH emulsji asfaltowych;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13043 Kruszywa do mieszanek bitumicznych i powierzchniowych utrwaleń stosowanych na drogach, lotniskach i innych powierzchniach przeznaczonych do ruchu;</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13074 Asfalty i lepiszcza asfaltowe – Oznaczanie lepiszczy z emulsji asfaltowych przez odparowanie;</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13075-1 Asfalty i lepiszcza asfaltowe – Badanie rozpadu – Część 1: Oznaczanie indeksu rozpadu kationowych emulsji asfaltowych, metoda z wypełniaczem mineralnym;</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13108-1 Mieszanki mineralno-asfaltowe – Wymagania – Część 1: Beton Asfaltowy;</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13108-20 Mieszanki mineralno-asfaltowe – Wymagania – Część 20: Badanie typu;</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13179-1 Badania kruszyw wypełniających stosowanych do mieszanek bitumicznych – Część 1: Badanie metodą Pierścienia i Kuli;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13179-2 Badania kruszyw wypełniających stosowanych do mieszanek bitumicznych – Część 2: Liczba bitumiczna;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13398 Asfalty i lepiszcza asfaltowe – Oznaczanie nawrotu sprężystego asfaltów modyfikowanych;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13399 Asfalty i lepiszcza asfaltowe – Oznaczanie odporności na magazynowanie modyfikowanych asfaltów;</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13587 Asfalty i lepiszcza asfaltowe – Oznaczanie ciągliwości lepiszczy asfaltowych metodą pomiaru ciągliwości;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13588 Asfalty i lepiszcza asfaltowe – Oznaczanie kohezji lepiszczy asfaltowych metodą testu wahadłowego;</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13589 Asfalty i lepiszcza asfaltowe – Oznaczanie ciągliwości modyfikowanych asfaltów – Metoda </w:t>
        <w:br/>
        <w:t>z duktylometrem;</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13614 Asfalty i lepiszcza asfaltowe – Oznaczanie przyczepności emulsji bitumicznych przez zanurzenie w wodzie – Metoda z kruszywem;</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13703 Asfalty i lepiszcza asfaltowe – Oznaczanie energii deformacji;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13808 Asfalty i lepiszcza asfaltowe – Zasady specyfikacji kationowych emulsji asfaltowych;</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14023 Asfalty i lepiszcza asfaltowe – Zasady specyfikacji asfaltów modyfikowanych polimerami;</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PN-EN 14188-1 Wypełniacze złączy i zalewy – Część 1: Specyfikacja zalew na gorąco; </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14188-2 Wypełniacze złączy i zalewy – Część 2: Specyfikacja zalew na zimno;</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22592 Przetwory naftowe – Oznaczanie temperatury zapłonu i palenia – Pomiar metodą otwartego tygla Clevelanda;</w:t>
      </w:r>
    </w:p>
    <w:p>
      <w:pPr>
        <w:pStyle w:val="ListParagraph"/>
        <w:numPr>
          <w:ilvl w:val="0"/>
          <w:numId w:val="6"/>
        </w:numPr>
        <w:spacing w:lineRule="auto" w:line="240" w:before="0" w:after="0"/>
        <w:contextualSpacing/>
        <w:jc w:val="both"/>
        <w:rPr>
          <w:rFonts w:cs="Calibri"/>
          <w:sz w:val="20"/>
          <w:szCs w:val="20"/>
        </w:rPr>
      </w:pPr>
      <w:r>
        <w:rPr>
          <w:rFonts w:cs="Calibri"/>
          <w:sz w:val="20"/>
          <w:szCs w:val="20"/>
        </w:rPr>
        <w:t>PN-EN ISO 2592 Oznaczanie temperatury zapłonu i palenia – Metoda otwartego tygla Clevelanda.</w:t>
      </w:r>
    </w:p>
    <w:p>
      <w:pPr>
        <w:pStyle w:val="ListParagraph"/>
        <w:spacing w:lineRule="auto" w:line="240" w:before="0" w:after="0"/>
        <w:contextualSpacing/>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10.3. Wymagania techniczne</w:t>
      </w:r>
    </w:p>
    <w:p>
      <w:pPr>
        <w:pStyle w:val="ListParagraph"/>
        <w:numPr>
          <w:ilvl w:val="0"/>
          <w:numId w:val="6"/>
        </w:numPr>
        <w:spacing w:lineRule="auto" w:line="240" w:before="0" w:after="0"/>
        <w:contextualSpacing/>
        <w:jc w:val="both"/>
        <w:rPr>
          <w:rFonts w:cs="Calibri"/>
          <w:sz w:val="20"/>
          <w:szCs w:val="20"/>
        </w:rPr>
      </w:pPr>
      <w:r>
        <w:rPr>
          <w:rFonts w:cs="Calibri"/>
          <w:sz w:val="20"/>
          <w:szCs w:val="20"/>
        </w:rPr>
        <w:t xml:space="preserve">WT-1 Kruszywa 2010. Kruszywa do mieszanek mineralno-asfaltowych i powierzchniowych utrwaleń na drogach krajowych - Zarządzenie nr 102 Generalnego Dyrektora Dróg Krajowych i Autostrad z dnia </w:t>
        <w:br/>
        <w:t>19 listopada 2010 r.</w:t>
      </w:r>
    </w:p>
    <w:p>
      <w:pPr>
        <w:pStyle w:val="ListParagraph"/>
        <w:numPr>
          <w:ilvl w:val="0"/>
          <w:numId w:val="6"/>
        </w:numPr>
        <w:spacing w:lineRule="auto" w:line="240" w:before="0" w:after="0"/>
        <w:contextualSpacing/>
        <w:jc w:val="both"/>
        <w:rPr>
          <w:rFonts w:cs="Calibri"/>
          <w:sz w:val="20"/>
          <w:szCs w:val="20"/>
        </w:rPr>
      </w:pPr>
      <w:r>
        <w:rPr>
          <w:rFonts w:cs="Calibri"/>
          <w:sz w:val="20"/>
          <w:szCs w:val="20"/>
        </w:rPr>
        <w:t>WT-2 Nawierzchnie asfaltowe 2010. Nawierzchnie asfaltowe na drogach krajowych - Zarządzenie nr 102 Generalnego Dyrektora Dróg Krajowych i Autostrad z dnia 19 listopada 2011 r.</w:t>
      </w:r>
    </w:p>
    <w:p>
      <w:pPr>
        <w:pStyle w:val="ListParagraph"/>
        <w:numPr>
          <w:ilvl w:val="0"/>
          <w:numId w:val="6"/>
        </w:numPr>
        <w:spacing w:lineRule="auto" w:line="240" w:before="0" w:after="0"/>
        <w:contextualSpacing/>
        <w:jc w:val="both"/>
        <w:rPr>
          <w:rFonts w:cs="Calibri"/>
          <w:sz w:val="20"/>
          <w:szCs w:val="20"/>
        </w:rPr>
      </w:pPr>
      <w:r>
        <w:rPr>
          <w:rFonts w:cs="Calibri"/>
          <w:sz w:val="20"/>
          <w:szCs w:val="20"/>
        </w:rPr>
        <w:t>WT-3 Emulsje asfaltowe 2009. Kationowe emulsje asfaltowe na drogach publicznych.</w:t>
      </w:r>
    </w:p>
    <w:p>
      <w:pPr>
        <w:pStyle w:val="Normal"/>
        <w:spacing w:lineRule="auto" w:line="240" w:before="0" w:after="0"/>
        <w:ind w:left="360"/>
        <w:jc w:val="both"/>
        <w:rPr>
          <w:rFonts w:cs="Calibri"/>
          <w:sz w:val="20"/>
          <w:szCs w:val="20"/>
        </w:rPr>
      </w:pPr>
      <w:r>
        <w:rPr>
          <w:rFonts w:cs="Calibri"/>
          <w:sz w:val="20"/>
          <w:szCs w:val="20"/>
        </w:rPr>
      </w:r>
    </w:p>
    <w:p>
      <w:pPr>
        <w:pStyle w:val="Normal"/>
        <w:spacing w:lineRule="auto" w:line="240" w:before="0" w:after="0"/>
        <w:jc w:val="both"/>
        <w:rPr>
          <w:rFonts w:cs="Calibri"/>
          <w:sz w:val="20"/>
          <w:szCs w:val="20"/>
        </w:rPr>
      </w:pPr>
      <w:r>
        <w:rPr>
          <w:rFonts w:cs="Calibri"/>
          <w:sz w:val="20"/>
          <w:szCs w:val="20"/>
        </w:rPr>
        <w:t>10.4. Inne dokumenty</w:t>
      </w:r>
    </w:p>
    <w:p>
      <w:pPr>
        <w:pStyle w:val="ListParagraph"/>
        <w:numPr>
          <w:ilvl w:val="0"/>
          <w:numId w:val="6"/>
        </w:numPr>
        <w:spacing w:lineRule="auto" w:line="240" w:before="0" w:after="0"/>
        <w:contextualSpacing/>
        <w:jc w:val="both"/>
        <w:rPr>
          <w:rFonts w:cs="Calibri"/>
          <w:sz w:val="20"/>
          <w:szCs w:val="20"/>
        </w:rPr>
      </w:pPr>
      <w:r>
        <w:rPr>
          <w:rFonts w:cs="Calibri"/>
          <w:sz w:val="20"/>
          <w:szCs w:val="20"/>
        </w:rPr>
        <w:t>Rozporządzenie Ministra Transportu i Gospodarki Morskiej z dnia 2 marca 1999 r. w sprawie warunków technicznych, jakim powinny odpowiadać drogi publiczne i ich usytuowanie (Dz.U. nr 43, poz. 430).</w:t>
      </w:r>
    </w:p>
    <w:p>
      <w:pPr>
        <w:pStyle w:val="ListParagraph"/>
        <w:numPr>
          <w:ilvl w:val="0"/>
          <w:numId w:val="6"/>
        </w:numPr>
        <w:spacing w:lineRule="auto" w:line="240" w:before="0" w:after="0"/>
        <w:contextualSpacing/>
        <w:jc w:val="both"/>
        <w:rPr>
          <w:rFonts w:cs="Calibri"/>
          <w:sz w:val="20"/>
          <w:szCs w:val="20"/>
        </w:rPr>
      </w:pPr>
      <w:r>
        <w:rPr>
          <w:rFonts w:cs="Calibri"/>
          <w:sz w:val="20"/>
          <w:szCs w:val="20"/>
        </w:rPr>
        <w:t>Katalog typowych konstrukcji nawierzchni podatnych i półsztywnych. Generalna Dyrekcja Dróg Publicznych – Instytut Badawczy Dróg i Mostów, Warszawa 1997.</w:t>
      </w:r>
    </w:p>
    <w:sectPr>
      <w:headerReference w:type="default" r:id="rId6"/>
      <w:footerReference w:type="default" r:id="rId7"/>
      <w:type w:val="nextPage"/>
      <w:pgSz w:w="11906" w:h="16838"/>
      <w:pgMar w:left="1417" w:right="849" w:gutter="0" w:header="426" w:top="1417" w:footer="333" w:bottom="1134"/>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Tahoma">
    <w:charset w:val="ee"/>
    <w:family w:val="roman"/>
    <w:pitch w:val="variable"/>
  </w:font>
  <w:font w:name="Liberation Sans">
    <w:altName w:val="Arial"/>
    <w:charset w:val="ee"/>
    <w:family w:val="roman"/>
    <w:pitch w:val="variable"/>
  </w:font>
  <w:font w:name="Cambria">
    <w:charset w:val="ee"/>
    <w:family w:val="roman"/>
    <w:pitch w:val="variable"/>
  </w:font>
  <w:font w:name="CIDFont+F1">
    <w:charset w:val="ee"/>
    <w:family w:val="roman"/>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240" w:before="0" w:after="0"/>
      <w:rPr>
        <w:rFonts w:cs="Calibri"/>
        <w:i/>
        <w:i/>
        <w:color w:val="000000"/>
        <w:sz w:val="14"/>
        <w:szCs w:val="20"/>
      </w:rPr>
    </w:pPr>
    <w:r>
      <w:rPr>
        <w:rFonts w:cs="Calibri"/>
        <w:i/>
        <w:color w:val="000000"/>
        <w:sz w:val="14"/>
        <w:szCs w:val="20"/>
      </w:rPr>
      <w:t>Wykonał: R. Madej</w:t>
    </w:r>
  </w:p>
  <w:p>
    <w:pPr>
      <w:pStyle w:val="Footer"/>
      <w:tabs>
        <w:tab w:val="left" w:pos="336" w:leader="none"/>
        <w:tab w:val="center" w:pos="4536" w:leader="none"/>
        <w:tab w:val="right" w:pos="9072" w:leader="none"/>
        <w:tab w:val="right" w:pos="9356" w:leader="none"/>
      </w:tabs>
      <w:rPr/>
    </w:pPr>
    <w:r>
      <w:rPr/>
      <w:tab/>
      <w:tab/>
      <w:tab/>
      <w:tab/>
    </w:r>
    <w:r>
      <w:rPr/>
      <w:fldChar w:fldCharType="begin"/>
    </w:r>
    <w:r>
      <w:rPr/>
      <w:instrText xml:space="preserve"> PAGE </w:instrText>
    </w:r>
    <w:r>
      <w:rPr/>
      <w:fldChar w:fldCharType="separate"/>
    </w:r>
    <w:r>
      <w:rPr/>
      <w:t>3</w:t>
    </w:r>
    <w:r>
      <w:rPr/>
      <w:fldChar w:fldCharType="end"/>
    </w:r>
  </w:p>
  <w:p>
    <w:pPr>
      <w:pStyle w:val="Footer"/>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spacing w:lineRule="auto" w:line="240" w:before="0" w:after="0"/>
      <w:jc w:val="right"/>
      <w:rPr>
        <w:rFonts w:ascii="CIDFont+F1" w:hAnsi="CIDFont+F1" w:cs="CIDFont+F1"/>
        <w:color w:val="000000"/>
        <w:sz w:val="16"/>
        <w:szCs w:val="20"/>
      </w:rPr>
    </w:pPr>
    <w:r>
      <w:rPr>
        <w:rFonts w:cs="CIDFont+F1" w:ascii="CIDFont+F1" w:hAnsi="CIDFont+F1"/>
        <w:color w:val="000000"/>
        <w:sz w:val="16"/>
        <w:szCs w:val="20"/>
      </w:rPr>
      <w:t>STWiOR nr 5</w:t>
    </w:r>
  </w:p>
  <w:p>
    <w:pPr>
      <w:pStyle w:val="Normal"/>
      <w:spacing w:lineRule="auto" w:line="240" w:before="0" w:after="0"/>
      <w:jc w:val="right"/>
      <w:rPr>
        <w:rFonts w:cs="Calibri"/>
        <w:b/>
        <w:color w:val="808080"/>
        <w:sz w:val="14"/>
        <w:szCs w:val="14"/>
      </w:rPr>
    </w:pPr>
    <w:r>
      <mc:AlternateContent>
        <mc:Choice Requires="wps">
          <w:drawing>
            <wp:anchor behindDoc="1" distT="635" distB="635" distL="635" distR="635" simplePos="0" locked="0" layoutInCell="1" allowOverlap="1" relativeHeight="17">
              <wp:simplePos x="0" y="0"/>
              <wp:positionH relativeFrom="column">
                <wp:posOffset>3810</wp:posOffset>
              </wp:positionH>
              <wp:positionV relativeFrom="paragraph">
                <wp:posOffset>168910</wp:posOffset>
              </wp:positionV>
              <wp:extent cx="6054090" cy="635"/>
              <wp:effectExtent l="635" t="635" r="635" b="635"/>
              <wp:wrapNone/>
              <wp:docPr id="5" name="Kształt1"/>
              <a:graphic xmlns:a="http://schemas.openxmlformats.org/drawingml/2006/main">
                <a:graphicData uri="http://schemas.microsoft.com/office/word/2010/wordprocessingShape">
                  <wps:wsp>
                    <wps:cNvSpPr/>
                    <wps:spPr>
                      <a:xfrm>
                        <a:off x="0" y="0"/>
                        <a:ext cx="6054120" cy="720"/>
                      </a:xfrm>
                      <a:prstGeom prst="line">
                        <a:avLst/>
                      </a:prstGeom>
                      <a:ln w="0">
                        <a:solidFill>
                          <a:srgbClr val="808080"/>
                        </a:solidFill>
                      </a:ln>
                    </wps:spPr>
                    <wps:style>
                      <a:lnRef idx="0"/>
                      <a:fillRef idx="0"/>
                      <a:effectRef idx="0"/>
                      <a:fontRef idx="minor"/>
                    </wps:style>
                    <wps:bodyPr/>
                  </wps:wsp>
                </a:graphicData>
              </a:graphic>
            </wp:anchor>
          </w:drawing>
        </mc:Choice>
        <mc:Fallback>
          <w:pict>
            <v:line id="shape_0" from="0.3pt,13.3pt" to="476.95pt,13.3pt" ID="Kształt1" stroked="t" o:allowincell="f" style="position:absolute">
              <v:stroke color="gray" joinstyle="round" endcap="flat"/>
              <v:fill o:detectmouseclick="t" on="false"/>
              <w10:wrap type="none"/>
            </v:line>
          </w:pict>
        </mc:Fallback>
      </mc:AlternateContent>
    </w:r>
    <w:r>
      <w:rPr>
        <w:rFonts w:cs="Calibri"/>
        <w:b/>
        <w:color w:val="808080"/>
        <w:sz w:val="14"/>
        <w:szCs w:val="14"/>
      </w:rPr>
      <w:t>IZP.271.2.</w:t>
    </w:r>
    <w:r>
      <w:rPr>
        <w:rFonts w:cs="Calibri"/>
        <w:b/>
        <w:color w:val="808080"/>
        <w:sz w:val="14"/>
        <w:szCs w:val="14"/>
      </w:rPr>
      <w:t>6</w:t>
    </w:r>
    <w:r>
      <w:rPr>
        <w:rFonts w:cs="Calibri"/>
        <w:b/>
        <w:color w:val="808080"/>
        <w:sz w:val="14"/>
        <w:szCs w:val="14"/>
      </w:rPr>
      <w:t>.202</w:t>
    </w:r>
    <w:r>
      <w:rPr>
        <w:rFonts w:cs="Calibri"/>
        <w:b/>
        <w:color w:val="808080"/>
        <w:sz w:val="14"/>
        <w:szCs w:val="14"/>
      </w:rPr>
      <w:t>6</w:t>
    </w:r>
    <w:r>
      <w:rPr>
        <w:rFonts w:cs="Calibri"/>
        <w:b/>
        <w:color w:val="808080"/>
        <w:sz w:val="14"/>
        <w:szCs w:val="14"/>
      </w:rPr>
      <w:t xml:space="preserve">                                                                                                                             </w:t>
    </w:r>
    <w:r>
      <w:rPr>
        <w:rFonts w:cs="Calibri"/>
        <w:b/>
        <w:bCs/>
        <w:color w:val="808080"/>
        <w:sz w:val="14"/>
        <w:szCs w:val="14"/>
      </w:rPr>
      <w:t xml:space="preserve"> Remonty nawierzchni mineralno-bitumicznych dróg gminnych w 202</w:t>
    </w:r>
    <w:r>
      <w:rPr>
        <w:rFonts w:cs="Calibri"/>
        <w:b/>
        <w:bCs/>
        <w:color w:val="808080"/>
        <w:sz w:val="14"/>
        <w:szCs w:val="14"/>
      </w:rPr>
      <w:t>6</w:t>
    </w:r>
    <w:r>
      <w:rPr>
        <w:rFonts w:cs="Calibri"/>
        <w:b/>
        <w:bCs/>
        <w:color w:val="808080"/>
        <w:sz w:val="14"/>
        <w:szCs w:val="14"/>
      </w:rPr>
      <w:t xml:space="preserve"> roku</w:t>
    </w:r>
  </w:p>
  <w:p>
    <w:pPr>
      <w:pStyle w:val="Normal"/>
      <w:jc w:val="right"/>
      <w:rPr>
        <w:rFonts w:cs="Calibri"/>
        <w:b/>
        <w:color w:val="808080"/>
        <w:sz w:val="16"/>
        <w:szCs w:val="16"/>
      </w:rPr>
    </w:pPr>
    <w:r>
      <w:rPr>
        <w:rFonts w:cs="Calibri"/>
        <w:sz w:val="14"/>
        <w:szCs w:val="16"/>
      </w:rPr>
      <w:t>”</w:t>
    </w:r>
  </w:p>
  <w:p>
    <w:pPr>
      <w:pStyle w:val="Normal"/>
      <w:spacing w:lineRule="auto" w:line="240" w:before="0" w:after="0"/>
      <w:jc w:val="right"/>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2">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3">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4">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5">
    <w:lvl w:ilvl="0">
      <w:start w:val="1"/>
      <w:numFmt w:val="bullet"/>
      <w:lvlText w:val=""/>
      <w:lvlJc w:val="left"/>
      <w:pPr>
        <w:tabs>
          <w:tab w:val="num" w:pos="0"/>
        </w:tabs>
        <w:ind w:left="1084" w:hanging="360"/>
      </w:pPr>
      <w:rPr>
        <w:rFonts w:ascii="Symbol" w:hAnsi="Symbol" w:cs="Symbol" w:hint="default"/>
      </w:rPr>
    </w:lvl>
    <w:lvl w:ilvl="1">
      <w:start w:val="1"/>
      <w:numFmt w:val="bullet"/>
      <w:lvlText w:val="o"/>
      <w:lvlJc w:val="left"/>
      <w:pPr>
        <w:tabs>
          <w:tab w:val="num" w:pos="0"/>
        </w:tabs>
        <w:ind w:left="1804" w:hanging="360"/>
      </w:pPr>
      <w:rPr>
        <w:rFonts w:ascii="Courier New" w:hAnsi="Courier New" w:cs="Courier New" w:hint="default"/>
      </w:rPr>
    </w:lvl>
    <w:lvl w:ilvl="2">
      <w:start w:val="1"/>
      <w:numFmt w:val="bullet"/>
      <w:lvlText w:val=""/>
      <w:lvlJc w:val="left"/>
      <w:pPr>
        <w:tabs>
          <w:tab w:val="num" w:pos="0"/>
        </w:tabs>
        <w:ind w:left="2524" w:hanging="360"/>
      </w:pPr>
      <w:rPr>
        <w:rFonts w:ascii="Wingdings" w:hAnsi="Wingdings" w:cs="Wingdings" w:hint="default"/>
      </w:rPr>
    </w:lvl>
    <w:lvl w:ilvl="3">
      <w:start w:val="1"/>
      <w:numFmt w:val="bullet"/>
      <w:lvlText w:val=""/>
      <w:lvlJc w:val="left"/>
      <w:pPr>
        <w:tabs>
          <w:tab w:val="num" w:pos="0"/>
        </w:tabs>
        <w:ind w:left="3244" w:hanging="360"/>
      </w:pPr>
      <w:rPr>
        <w:rFonts w:ascii="Symbol" w:hAnsi="Symbol" w:cs="Symbol" w:hint="default"/>
      </w:rPr>
    </w:lvl>
    <w:lvl w:ilvl="4">
      <w:start w:val="1"/>
      <w:numFmt w:val="bullet"/>
      <w:lvlText w:val="o"/>
      <w:lvlJc w:val="left"/>
      <w:pPr>
        <w:tabs>
          <w:tab w:val="num" w:pos="0"/>
        </w:tabs>
        <w:ind w:left="3964" w:hanging="360"/>
      </w:pPr>
      <w:rPr>
        <w:rFonts w:ascii="Courier New" w:hAnsi="Courier New" w:cs="Courier New" w:hint="default"/>
      </w:rPr>
    </w:lvl>
    <w:lvl w:ilvl="5">
      <w:start w:val="1"/>
      <w:numFmt w:val="bullet"/>
      <w:lvlText w:val=""/>
      <w:lvlJc w:val="left"/>
      <w:pPr>
        <w:tabs>
          <w:tab w:val="num" w:pos="0"/>
        </w:tabs>
        <w:ind w:left="4684" w:hanging="360"/>
      </w:pPr>
      <w:rPr>
        <w:rFonts w:ascii="Wingdings" w:hAnsi="Wingdings" w:cs="Wingdings" w:hint="default"/>
      </w:rPr>
    </w:lvl>
    <w:lvl w:ilvl="6">
      <w:start w:val="1"/>
      <w:numFmt w:val="bullet"/>
      <w:lvlText w:val=""/>
      <w:lvlJc w:val="left"/>
      <w:pPr>
        <w:tabs>
          <w:tab w:val="num" w:pos="0"/>
        </w:tabs>
        <w:ind w:left="5404" w:hanging="360"/>
      </w:pPr>
      <w:rPr>
        <w:rFonts w:ascii="Symbol" w:hAnsi="Symbol" w:cs="Symbol" w:hint="default"/>
      </w:rPr>
    </w:lvl>
    <w:lvl w:ilvl="7">
      <w:start w:val="1"/>
      <w:numFmt w:val="bullet"/>
      <w:lvlText w:val="o"/>
      <w:lvlJc w:val="left"/>
      <w:pPr>
        <w:tabs>
          <w:tab w:val="num" w:pos="0"/>
        </w:tabs>
        <w:ind w:left="6124" w:hanging="360"/>
      </w:pPr>
      <w:rPr>
        <w:rFonts w:ascii="Courier New" w:hAnsi="Courier New" w:cs="Courier New" w:hint="default"/>
      </w:rPr>
    </w:lvl>
    <w:lvl w:ilvl="8">
      <w:start w:val="1"/>
      <w:numFmt w:val="bullet"/>
      <w:lvlText w:val=""/>
      <w:lvlJc w:val="left"/>
      <w:pPr>
        <w:tabs>
          <w:tab w:val="num" w:pos="0"/>
        </w:tabs>
        <w:ind w:left="6844" w:hanging="360"/>
      </w:pPr>
      <w:rPr>
        <w:rFonts w:ascii="Wingdings" w:hAnsi="Wingdings" w:cs="Wingdings" w:hint="default"/>
      </w:rPr>
    </w:lvl>
  </w:abstractNum>
  <w:abstractNum w:abstractNumId="6">
    <w:lvl w:ilvl="0">
      <w:start w:val="1"/>
      <w:numFmt w:val="decimal"/>
      <w:lvlText w:val="%1."/>
      <w:lvlJc w:val="left"/>
      <w:pPr>
        <w:tabs>
          <w:tab w:val="num" w:pos="0"/>
        </w:tabs>
        <w:ind w:left="720" w:hanging="360"/>
      </w:pPr>
      <w:rPr>
        <w:rFonts w:cs="Times New Roman"/>
      </w:rPr>
    </w:lvl>
    <w:lvl w:ilvl="1">
      <w:start w:val="1"/>
      <w:numFmt w:val="lowerLetter"/>
      <w:lvlText w:val="%2."/>
      <w:lvlJc w:val="left"/>
      <w:pPr>
        <w:tabs>
          <w:tab w:val="num" w:pos="0"/>
        </w:tabs>
        <w:ind w:left="1440" w:hanging="360"/>
      </w:pPr>
      <w:rPr>
        <w:rFonts w:cs="Times New Roman"/>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
    <w:lvl w:ilvl="0">
      <w:start w:val="1"/>
      <w:numFmt w:val="decimal"/>
      <w:lvlText w:val="%1."/>
      <w:lvlJc w:val="left"/>
      <w:pPr>
        <w:tabs>
          <w:tab w:val="num" w:pos="0"/>
        </w:tabs>
        <w:ind w:left="724" w:hanging="360"/>
      </w:pPr>
      <w:rPr>
        <w:rFonts w:cs="Times New Roman"/>
      </w:rPr>
    </w:lvl>
    <w:lvl w:ilvl="1">
      <w:start w:val="1"/>
      <w:numFmt w:val="lowerLetter"/>
      <w:lvlText w:val="%2."/>
      <w:lvlJc w:val="left"/>
      <w:pPr>
        <w:tabs>
          <w:tab w:val="num" w:pos="0"/>
        </w:tabs>
        <w:ind w:left="1444" w:hanging="360"/>
      </w:pPr>
      <w:rPr>
        <w:rFonts w:cs="Times New Roman"/>
      </w:rPr>
    </w:lvl>
    <w:lvl w:ilvl="2">
      <w:start w:val="1"/>
      <w:numFmt w:val="lowerRoman"/>
      <w:lvlText w:val="%3."/>
      <w:lvlJc w:val="right"/>
      <w:pPr>
        <w:tabs>
          <w:tab w:val="num" w:pos="0"/>
        </w:tabs>
        <w:ind w:left="2164" w:hanging="180"/>
      </w:pPr>
      <w:rPr>
        <w:rFonts w:cs="Times New Roman"/>
      </w:rPr>
    </w:lvl>
    <w:lvl w:ilvl="3">
      <w:start w:val="1"/>
      <w:numFmt w:val="decimal"/>
      <w:lvlText w:val="%4."/>
      <w:lvlJc w:val="left"/>
      <w:pPr>
        <w:tabs>
          <w:tab w:val="num" w:pos="0"/>
        </w:tabs>
        <w:ind w:left="2884" w:hanging="360"/>
      </w:pPr>
      <w:rPr>
        <w:rFonts w:cs="Times New Roman"/>
      </w:rPr>
    </w:lvl>
    <w:lvl w:ilvl="4">
      <w:start w:val="1"/>
      <w:numFmt w:val="lowerLetter"/>
      <w:lvlText w:val="%5."/>
      <w:lvlJc w:val="left"/>
      <w:pPr>
        <w:tabs>
          <w:tab w:val="num" w:pos="0"/>
        </w:tabs>
        <w:ind w:left="3604" w:hanging="360"/>
      </w:pPr>
      <w:rPr>
        <w:rFonts w:cs="Times New Roman"/>
      </w:rPr>
    </w:lvl>
    <w:lvl w:ilvl="5">
      <w:start w:val="1"/>
      <w:numFmt w:val="lowerRoman"/>
      <w:lvlText w:val="%6."/>
      <w:lvlJc w:val="right"/>
      <w:pPr>
        <w:tabs>
          <w:tab w:val="num" w:pos="0"/>
        </w:tabs>
        <w:ind w:left="4324" w:hanging="180"/>
      </w:pPr>
      <w:rPr>
        <w:rFonts w:cs="Times New Roman"/>
      </w:rPr>
    </w:lvl>
    <w:lvl w:ilvl="6">
      <w:start w:val="1"/>
      <w:numFmt w:val="decimal"/>
      <w:lvlText w:val="%7."/>
      <w:lvlJc w:val="left"/>
      <w:pPr>
        <w:tabs>
          <w:tab w:val="num" w:pos="0"/>
        </w:tabs>
        <w:ind w:left="5044" w:hanging="360"/>
      </w:pPr>
      <w:rPr>
        <w:rFonts w:cs="Times New Roman"/>
      </w:rPr>
    </w:lvl>
    <w:lvl w:ilvl="7">
      <w:start w:val="1"/>
      <w:numFmt w:val="lowerLetter"/>
      <w:lvlText w:val="%8."/>
      <w:lvlJc w:val="left"/>
      <w:pPr>
        <w:tabs>
          <w:tab w:val="num" w:pos="0"/>
        </w:tabs>
        <w:ind w:left="5764" w:hanging="360"/>
      </w:pPr>
      <w:rPr>
        <w:rFonts w:cs="Times New Roman"/>
      </w:rPr>
    </w:lvl>
    <w:lvl w:ilvl="8">
      <w:start w:val="1"/>
      <w:numFmt w:val="lowerRoman"/>
      <w:lvlText w:val="%9."/>
      <w:lvlJc w:val="right"/>
      <w:pPr>
        <w:tabs>
          <w:tab w:val="num" w:pos="0"/>
        </w:tabs>
        <w:ind w:left="6484" w:hanging="180"/>
      </w:pPr>
      <w:rPr>
        <w:rFonts w:cs="Times New Roman"/>
      </w:rPr>
    </w:lvl>
  </w:abstractNum>
  <w:abstractNum w:abstractNumId="8">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w="http://schemas.openxmlformats.org/wordprocessingml/2006/main">
  <w:zoom w:val="bestFit" w:percent="110"/>
  <w:defaultTabStop w:val="708"/>
  <w:autoHyphenation w:val="true"/>
  <w:compat>
    <w:compatSetting w:name="compatibilityMode" w:uri="http://schemas.microsoft.com/office/word" w:val="12"/>
  </w:compat>
  <w:themeFontLang w:val="pl-P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Times New Roman"/>
        <w:sz w:val="22"/>
        <w:szCs w:val="22"/>
        <w:lang w:val="pl-PL" w:eastAsia="pl-PL" w:bidi="ar-SA"/>
      </w:rPr>
    </w:rPrDefault>
    <w:pPrDefault>
      <w:pPr>
        <w:suppressAutoHyphens w:val="true"/>
      </w:pPr>
    </w:pPrDefault>
  </w:docDefaults>
  <w:latentStyles w:defLockedState="0" w:defUIPriority="99" w:defSemiHidden="1" w:defUnhideWhenUsed="1" w:defQFormat="0" w:count="267">
    <w:lsdException w:name="Normal" w:locked="1" w:uiPriority="0" w:semiHidden="0" w:unhideWhenUsed="0" w:qFormat="1"/>
    <w:lsdException w:name="heading 1" w:locked="1" w:uiPriority="0" w:semiHidden="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uiPriority="0" w:semiHidden="0" w:unhideWhenUsed="0"/>
    <w:lsdException w:name="toc 2" w:locked="1" w:uiPriority="0" w:semiHidden="0" w:unhideWhenUsed="0"/>
    <w:lsdException w:name="toc 3" w:locked="1" w:uiPriority="0" w:semiHidden="0" w:unhideWhenUsed="0"/>
    <w:lsdException w:name="toc 4" w:locked="1" w:uiPriority="0" w:semiHidden="0" w:unhideWhenUsed="0"/>
    <w:lsdException w:name="toc 5" w:locked="1" w:uiPriority="0" w:semiHidden="0" w:unhideWhenUsed="0"/>
    <w:lsdException w:name="toc 6" w:locked="1" w:uiPriority="0" w:semiHidden="0" w:unhideWhenUsed="0"/>
    <w:lsdException w:name="toc 7" w:locked="1" w:uiPriority="0" w:semiHidden="0" w:unhideWhenUsed="0"/>
    <w:lsdException w:name="toc 8" w:locked="1" w:uiPriority="0" w:semiHidden="0" w:unhideWhenUsed="0"/>
    <w:lsdException w:name="toc 9" w:locked="1" w:uiPriority="0" w:semiHidden="0" w:unhideWhenUsed="0"/>
    <w:lsdException w:name="caption" w:locked="1" w:uiPriority="0" w:qFormat="1"/>
    <w:lsdException w:name="Title" w:locked="1" w:uiPriority="0" w:semiHidden="0" w:unhideWhenUsed="0" w:qFormat="1"/>
    <w:lsdException w:name="Default Paragraph Font" w:locked="1" w:uiPriority="0" w:semiHidden="0" w:unhideWhenUsed="0"/>
    <w:lsdException w:name="Subtitle" w:locked="1" w:uiPriority="0" w:semiHidden="0" w:unhideWhenUsed="0" w:qFormat="1"/>
    <w:lsdException w:name="Strong" w:locked="1" w:uiPriority="0" w:semiHidden="0" w:unhideWhenUsed="0" w:qFormat="1"/>
    <w:lsdException w:name="Emphasis" w:locked="1" w:uiPriority="0" w:semiHidden="0" w:unhideWhenUsed="0" w:qFormat="1"/>
    <w:lsdException w:name="Table Grid" w:locked="1" w:uiPriority="0"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90684a"/>
    <w:pPr>
      <w:widowControl/>
      <w:suppressAutoHyphens w:val="true"/>
      <w:bidi w:val="0"/>
      <w:spacing w:lineRule="auto" w:line="276" w:before="0" w:after="200"/>
      <w:jc w:val="left"/>
    </w:pPr>
    <w:rPr>
      <w:rFonts w:ascii="Calibri" w:hAnsi="Calibri" w:eastAsia="Calibri" w:cs="Times New Roman"/>
      <w:color w:val="auto"/>
      <w:kern w:val="0"/>
      <w:sz w:val="22"/>
      <w:szCs w:val="22"/>
      <w:lang w:val="pl-PL" w:eastAsia="en-US" w:bidi="ar-SA"/>
    </w:rPr>
  </w:style>
  <w:style w:type="character" w:styleId="DefaultParagraphFont" w:default="1">
    <w:name w:val="Default Paragraph Font"/>
    <w:uiPriority w:val="99"/>
    <w:semiHidden/>
    <w:qFormat/>
    <w:rPr/>
  </w:style>
  <w:style w:type="character" w:styleId="HeaderChar" w:customStyle="1">
    <w:name w:val="Header Char"/>
    <w:basedOn w:val="DefaultParagraphFont"/>
    <w:uiPriority w:val="99"/>
    <w:qFormat/>
    <w:locked/>
    <w:rsid w:val="003854eb"/>
    <w:rPr>
      <w:rFonts w:cs="Times New Roman"/>
    </w:rPr>
  </w:style>
  <w:style w:type="character" w:styleId="FooterChar" w:customStyle="1">
    <w:name w:val="Footer Char"/>
    <w:basedOn w:val="DefaultParagraphFont"/>
    <w:uiPriority w:val="99"/>
    <w:qFormat/>
    <w:locked/>
    <w:rsid w:val="003854eb"/>
    <w:rPr>
      <w:rFonts w:cs="Times New Roman"/>
    </w:rPr>
  </w:style>
  <w:style w:type="character" w:styleId="BalloonTextChar" w:customStyle="1">
    <w:name w:val="Balloon Text Char"/>
    <w:basedOn w:val="DefaultParagraphFont"/>
    <w:link w:val="BalloonText"/>
    <w:uiPriority w:val="99"/>
    <w:semiHidden/>
    <w:qFormat/>
    <w:locked/>
    <w:rsid w:val="003854eb"/>
    <w:rPr>
      <w:rFonts w:ascii="Tahoma" w:hAnsi="Tahoma" w:cs="Tahoma"/>
      <w:sz w:val="16"/>
      <w:szCs w:val="16"/>
    </w:rPr>
  </w:style>
  <w:style w:type="paragraph" w:styleId="Nagwek">
    <w:name w:val="Nagłówek"/>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ks">
    <w:name w:val="Indeks"/>
    <w:basedOn w:val="Normal"/>
    <w:qFormat/>
    <w:pPr>
      <w:suppressLineNumbers/>
    </w:pPr>
    <w:rPr>
      <w:rFonts w:cs="Lucida Sans"/>
    </w:rPr>
  </w:style>
  <w:style w:type="paragraph" w:styleId="ListParagraph">
    <w:name w:val="List Paragraph"/>
    <w:basedOn w:val="Normal"/>
    <w:uiPriority w:val="99"/>
    <w:qFormat/>
    <w:rsid w:val="003854eb"/>
    <w:pPr>
      <w:spacing w:before="0" w:after="200"/>
      <w:ind w:left="720"/>
      <w:contextualSpacing/>
    </w:pPr>
    <w:rPr/>
  </w:style>
  <w:style w:type="paragraph" w:styleId="Gwkaistopka">
    <w:name w:val="Główka i stopka"/>
    <w:basedOn w:val="Normal"/>
    <w:qFormat/>
    <w:pPr/>
    <w:rPr/>
  </w:style>
  <w:style w:type="paragraph" w:styleId="Header">
    <w:name w:val="Header"/>
    <w:basedOn w:val="Normal"/>
    <w:link w:val="HeaderChar"/>
    <w:uiPriority w:val="99"/>
    <w:rsid w:val="003854eb"/>
    <w:pPr>
      <w:tabs>
        <w:tab w:val="clear" w:pos="708"/>
        <w:tab w:val="center" w:pos="4536" w:leader="none"/>
        <w:tab w:val="right" w:pos="9072" w:leader="none"/>
      </w:tabs>
      <w:spacing w:lineRule="auto" w:line="240" w:before="0" w:after="0"/>
    </w:pPr>
    <w:rPr/>
  </w:style>
  <w:style w:type="paragraph" w:styleId="Footer">
    <w:name w:val="Footer"/>
    <w:basedOn w:val="Normal"/>
    <w:link w:val="FooterChar"/>
    <w:uiPriority w:val="99"/>
    <w:rsid w:val="003854eb"/>
    <w:pPr>
      <w:tabs>
        <w:tab w:val="clear" w:pos="708"/>
        <w:tab w:val="center" w:pos="4536" w:leader="none"/>
        <w:tab w:val="right" w:pos="9072" w:leader="none"/>
      </w:tabs>
      <w:spacing w:lineRule="auto" w:line="240" w:before="0" w:after="0"/>
    </w:pPr>
    <w:rPr/>
  </w:style>
  <w:style w:type="paragraph" w:styleId="BalloonText">
    <w:name w:val="Balloon Text"/>
    <w:basedOn w:val="Normal"/>
    <w:link w:val="BalloonTextChar"/>
    <w:uiPriority w:val="99"/>
    <w:semiHidden/>
    <w:qFormat/>
    <w:rsid w:val="003854eb"/>
    <w:pPr>
      <w:spacing w:lineRule="auto" w:line="240" w:before="0" w:after="0"/>
    </w:pPr>
    <w:rPr>
      <w:rFonts w:ascii="Tahoma" w:hAnsi="Tahoma" w:cs="Tahoma"/>
      <w:sz w:val="16"/>
      <w:szCs w:val="16"/>
    </w:rPr>
  </w:style>
  <w:style w:type="numbering" w:styleId="NoList" w:default="1">
    <w:name w:val="No List"/>
    <w:uiPriority w:val="99"/>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table" w:styleId="TableGrid">
    <w:name w:val="Table Grid"/>
    <w:basedOn w:val="TableNormal"/>
    <w:uiPriority w:val="99"/>
    <w:rsid w:val="009a3ab8"/>
    <w:rPr>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numbering" Target="numbering.xml"/><Relationship Id="rId9" Type="http://schemas.openxmlformats.org/officeDocument/2006/relationships/fontTable" Target="fontTable.xml"/><Relationship Id="rId10" Type="http://schemas.openxmlformats.org/officeDocument/2006/relationships/settings" Target="settings.xml"/><Relationship Id="rId11"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itchFamily="0" charset="1"/>
        <a:ea typeface=""/>
        <a:cs typeface=""/>
      </a:majorFont>
      <a:minorFont>
        <a:latin typeface="Calibri"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shade val="51000"/>
              </a:schemeClr>
            </a:gs>
            <a:gs pos="80000">
              <a:schemeClr val="phClr">
                <a:shade val="93000"/>
              </a:schemeClr>
            </a:gs>
            <a:gs pos="100000">
              <a:schemeClr val="phClr">
                <a:shade val="94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Normal_Wordconv.dotm</Template>
  <TotalTime>67</TotalTime>
  <Application>LibreOffice/7.6.2.1$Windows_X86_64 LibreOffice_project/56f7684011345957bbf33a7ee678afaf4d2ba333</Application>
  <AppVersion>15.0000</AppVersion>
  <Pages>13</Pages>
  <Words>4833</Words>
  <Characters>32950</Characters>
  <CharactersWithSpaces>37649</CharactersWithSpaces>
  <Paragraphs>343</Paragraphs>
  <Company>PKiI UMDT</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2023-06-13T12:23:00Z</dcterms:created>
  <dc:creator>dell</dc:creator>
  <dc:description/>
  <dc:language>pl-PL</dc:language>
  <cp:lastModifiedBy/>
  <dcterms:modified xsi:type="dcterms:W3CDTF">2026-02-27T11:38:08Z</dcterms:modified>
  <cp:revision>64</cp:revision>
  <dc:subject/>
  <dc:title/>
</cp:coreProperties>
</file>

<file path=docProps/custom.xml><?xml version="1.0" encoding="utf-8"?>
<Properties xmlns="http://schemas.openxmlformats.org/officeDocument/2006/custom-properties" xmlns:vt="http://schemas.openxmlformats.org/officeDocument/2006/docPropsVTypes"/>
</file>